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StudakVO (Nordrhein-Westfalen) — Fachlich-inhaltliche Gestaltung der Studiengänge</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Aktualität und Adäquanz der fachlichen und wissenschaftlichen Anforderungen ist gewährleistet. Die fachlich-inhaltliche Gestaltung und die methodisch-didaktischen Ansätze des Curriculums werden kontinuierlich überprüft und an fachliche und didaktische Weiterentwicklungen angepasst. Dazu erfolgt eine systematische Berücksichtigung des fachlichen Diskurses auf nationaler und gegebenenfalls internationaler Ebene.</w:t>
      </w:r>
    </w:p>
    <w:p>
      <w:r>
        <w:t xml:space="preserve">(2) In Studiengängen, in denen die Bildungsvoraussetzungen für ein Lehramt vermittelt werden, sind Grundlage der Akkreditierung sowohl die Bewertung der Bildungswissenschaften und Fachwissenschaften sowie deren Didaktik nach ländergemeinsamen und länderspezifischen fachlichen Anforderungen als auch die ländergemeinsamen und länderspezifischen strukturellen Vorgaben für die Lehrerausbildung.</w:t>
      </w:r>
    </w:p>
    <w:p>
      <w:r>
        <w:t xml:space="preserve">(3) Im Rahmen der Akkreditierung von Lehramtsstudiengängen ist insbesondere zu prüfen, ob</w:t>
      </w:r>
    </w:p>
    <w:p>
      <w:r>
        <w:t xml:space="preserve">1. ein integratives Studium an Universitäten oder gleichgestellten Hochschulen von mindestens zwei Fachwissenschaften und von Bildungswissenschaften in der Bachelorphase sowie in der Masterphase (Ausnahmen sind bei den Fächern Kunst und Musik zulässig),</w:t>
      </w:r>
    </w:p>
    <w:p>
      <w:r>
        <w:t xml:space="preserve">2. schulpraktische Studien bereits während des Bachelorstudiums und</w:t>
      </w:r>
    </w:p>
    <w:p>
      <w:r>
        <w:t xml:space="preserve">3 eine Differenzierung des Studiums und der Abschlüsse nach Lehrämtern</w:t>
      </w:r>
    </w:p>
    <w:p>
      <w:r>
        <w:t xml:space="preserve">erfolgt sind. Ausnahmen von Satz 1 Nummer 1 und 2 sind beim Lehramt für die beruflichen Schulen und bei Quereinstiegs-Masterstudiengängen zulässig.</w:t>
      </w:r>
    </w:p>
    <w:p>
      <w:r>
        <w:rPr>
          <w:color w:val="555555"/>
          <w:sz w:val="17"/>
        </w:rPr>
        <w:t xml:space="preserve">Zitiervorschlag: § 13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