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StudakVO (Nordrhein-Westfalen) — Schlüssiges Studiengangkonzept und adäquate Umsetzung</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Curriculum ist unter Berücksichtigung der festgelegten Eingangsqualifikation und im Hinblick auf die Erreichbarkeit der Qualifikationsziele adäquat aufgebaut. Die Qualifikationsziele, die Studiengangbezeichnung, der Abschlussgrad und die -bezeichnung sowie das Modulkonzept sind stimmig aufeinander bezogen. Das Studiengangkonzept umfasst vielfältige, an die jeweilige Fachkultur und das Studienformat angepasste Lehr-, Lern- und Prüfungsformen sowie gegebenenfalls Praxisanteile. Es schafft geeignete Rahmenbedingungen zur Förderung der studentischen Mobilität, die den Studierenden einen Aufenthalt an anderen Hochschulen ohne Zeitverlust ermöglichen. Es bezieht die Studierenden aktiv in die Gestaltung von Lehr- und Lernprozessen ein (studierendenzentriertes Lehren und Lernen) und eröffnet Freiräume für ein selbstgestaltetes Studium. Studiengang, Studienverlauf, Prüfungsanforderungen, Modulbeschreibungen und Zugangsvoraussetzungen einschließlich der Nachteilsausgleichsregelungen für Studierende mit Behinderung oder chronischen Erkrankungen sind dokumentiert und veröffentlicht.</w:t>
      </w:r>
    </w:p>
    <w:p>
      <w:r>
        <w:t xml:space="preserve">(2) Das Curriculum wird durch ausreichendes fachlich und methodisch-didaktisch qualifiziertes Lehrpersonal umgesetzt. Die Verbindung von Forschung und Lehre wird entsprechend dem Profil der Hochschulart insbesondere durch hauptberuflich tätige Professorinnen und Professoren sowohl in grundständigen als auch weiterführenden Studiengängen gewährleistet. Die Hochschule ergreift geeignete Maßnahmen der Personalauswahl und -qualifizierung.</w:t>
      </w:r>
    </w:p>
    <w:p>
      <w:r>
        <w:t xml:space="preserve">(3) Der Studiengang verfügt darüber hinaus über eine angemessene Ressourcenausstattung (insbesondere nichtwissenschaftliches Personal, Raum- und Sachausstattung, einschließlich IT-Infrastruktur, Lehr- und Lernmittel).</w:t>
      </w:r>
    </w:p>
    <w:p>
      <w:r>
        <w:t xml:space="preserve">(4) Prüfungen und Prüfungsarten ermöglichen eine aussagekräftige Überprüfung der erreichten Lernergebnisse. Sie sind modulbezogen und kompetenzorientiert.</w:t>
      </w:r>
    </w:p>
    <w:p>
      <w:r>
        <w:t xml:space="preserve">(5) Die Studierbarkeit in der Regelstudienzeit ist gewährleistet. Dies umfasst insbesondere</w:t>
      </w:r>
    </w:p>
    <w:p>
      <w:r>
        <w:t xml:space="preserve">1. einen planbaren und verlässlichen Studienbetrieb,</w:t>
      </w:r>
    </w:p>
    <w:p>
      <w:r>
        <w:t xml:space="preserve">2. die weitgehende Überschneidungsfreiheit von Lehrveranstaltungen und Prüfungen,</w:t>
      </w:r>
    </w:p>
    <w:p>
      <w:r>
        <w:t xml:space="preserve">3. einen plausiblen und der Prüfungsbelastung angemessenen durchschnittlichen Arbeitsaufwand, wobei die Lernergebnisse eines Moduls so zu bemessen sind, dass sie in der Regel innerhalb eines Semesters oder eines Jahres erreicht werden können, was in regelmäßigen Erhebungen validiert wird, und</w:t>
      </w:r>
    </w:p>
    <w:p>
      <w:r>
        <w:t xml:space="preserve">4. eine adäquate und belastungsangemessene Prüfungsdichte und -organisation, die in einem Prüfungskonzept stimmig begründet wird und deren Belastungsangemessenheit regelmäßig unter Einbezug von Studierenden im Rahmen der Weiterentwicklung des Studienganges im Sinne von § 14 bewertet wird; Module sollen einen Umfang von mindestens fünf ECTS-Leistungspunkten aufweisen.</w:t>
      </w:r>
    </w:p>
    <w:p>
      <w:r>
        <w:t xml:space="preserve">(6) Studiengänge mit besonderem Profilanspruch weisen ein in sich geschlossenes Studiengangkonzept aus, das die besonderen Charakteristika des Profils angemessen darstellt.</w:t>
      </w:r>
    </w:p>
    <w:p>
      <w:r>
        <w:t xml:space="preserve">(7) Ein Studiengang darf als „dual“ bezeichnet und beworben werden, wenn die Lernorte, mindestens Hochschule oder Berufsakademie und Betrieb, systematisch sowohl inhaltlich als auch organisatorisch und vertraglich miteinander verzahnt sind.</w:t>
      </w:r>
    </w:p>
    <w:p>
      <w:r>
        <w:rPr>
          <w:color w:val="555555"/>
          <w:sz w:val="17"/>
        </w:rPr>
        <w:t xml:space="preserve">Zitiervorschlag: § 12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