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StudakVO (Nordrhein-Westfalen) — Qualifikationsziele und Abschlussniveau</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Qualifikationsziele und die angestrebten Lernergebnisse sind klar formuliert öffentlich zugänglich und tragen den in Artikel 2 Absatz 3 Nummer 1 Studienakkreditierungsstaatsvertrag genannten Zielen von Hochschulbildung nachvollziehbar Rechnung. Die Dimension Persönlichkeitsbildung umfasst auch die künftige zivilgesellschaftliche, politische und kulturelle Rolle der Absolventinnen und Absolventen. Die Studierenden sollen nach ihrem Abschluss in der Lage sein, gesellschaftliche Prozesse kritisch, reflektiert sowie mit Verantwortungsbewusstsein und in demokratischem Gemeinsinn maßgeblich mitzugestalten.</w:t>
      </w:r>
    </w:p>
    <w:p>
      <w:r>
        <w:t xml:space="preserve">(2) Die fachlichen und wissenschaftlich oder künstlerischen Anforderungen umfassen die Aspekte Wissen und Verstehen (Wissensverbreiterung, Wissensvertiefung und Wissensverständnis), Einsatz, Anwendung und Erzeugung von Wissen oder Kunst (Nutzung und Transfer, wissenschaftliche Innovation), Kommunikation und Kooperation sowie wissenschaftliches oder künstlerisches Selbstverständnis und Professionalität und sind stimmig im Hinblick auf das vermittelte Abschlussniveau.</w:t>
      </w:r>
    </w:p>
    <w:p>
      <w:r>
        <w:t xml:space="preserve">(3) Bachelorstudiengänge dienen der Vermittlung wissenschaftlicher Grundlagen, Methodenkompetenz und berufsfeldbezogener Qualifikationen und stellen eine breite wissenschaftliche oder künstlerische Qualifizierung sicher. Konsekutive Masterstudiengänge sind als vertiefende, verbreiternde, fachübergreifende oder fachlich andere Studiengänge ausgestaltet. Weiterbildende Masterstudiengänge setzen qualifizierte berufspraktische Erfahrung von in der Regel nicht unter einem Jahr voraus. Das Studiengangkonzept weiterbildender Masterstudiengänge berücksichtigt die beruflichen Erfahrungen und knüpft zur Erreichung der Qualifikationsziele an diese an. Bei der Konzeption legt die Hochschule den Zusammenhang von beruflicher Qualifikation und Studienangebot sowie die Gleichwertigkeit der Anforderungen zu konsekutiven Masterstudiengängen dar. Künstlerische Studiengänge fördern die Fähigkeit zur künstlerischen Gestaltung und entwickeln diese fort.</w:t>
      </w:r>
    </w:p>
    <w:p>
      <w:r>
        <w:rPr>
          <w:color w:val="555555"/>
          <w:sz w:val="17"/>
        </w:rPr>
        <w:t xml:space="preserve">Zitiervorschlag: § 11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