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StudakVO (Nordrhein-Westfalen) — Anwendungsbereich</w:t>
      </w:r>
    </w:p>
    <w:p>
      <w:r>
        <w:rPr>
          <w:color w:val="555555"/>
          <w:sz w:val="18"/>
        </w:rPr>
        <w:t xml:space="preserve">Studienakkreditierungsverordnung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regelt auf Grund von Artikel 4 des Studienakkreditierungsstaatsvertrages vom 12. Juni 2017 (GV. NRW. S. 806) das Nähere zu den formalen Kriterien nach Artikel 2 Absatz 2, zu den fachlich-inhaltlichen Kriterien nach Artikel 2 Absatz 3 sowie zum Verfahren nach Artikel 3 des Studienakkreditierungsstaatsvertrages.</w:t>
      </w:r>
    </w:p>
    <w:p>
      <w:r>
        <w:t xml:space="preserve">(2) Ein auf der Grundlage des Studienakkreditierungsstaatsvertrages akkreditierter Bachelorabschluss einer staatlichen oder staatlich anerkannten Berufsakademie steht hochschulrechtlich dem Bachelorabschluss einer Hochschule gleich.</w:t>
      </w:r>
    </w:p>
    <w:p>
      <w:r>
        <w:rPr>
          <w:color w:val="555555"/>
          <w:sz w:val="17"/>
        </w:rPr>
        <w:t xml:space="preserve">Zitiervorschlag: § 1 StudakVO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https://recht.nulegal.eu/gesetze/StudakVO/1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