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StudWV (Bayern) — Aufwand</w:t>
      </w:r>
    </w:p>
    <w:p>
      <w:r>
        <w:rPr>
          <w:color w:val="555555"/>
          <w:sz w:val="18"/>
        </w:rPr>
        <w:t xml:space="preserve">Verordnung über die bayerischen Studentenwerke</w:t>
      </w:r>
    </w:p>
    <w:p>
      <w:r>
        <w:rPr>
          <w:color w:val="555555"/>
          <w:sz w:val="18"/>
        </w:rPr>
        <w:t xml:space="preserve">Landesrecht Bayern</w:t>
      </w:r>
    </w:p>
    <w:p>
      <w:r>
        <w:rPr>
          <w:color w:val="555555"/>
          <w:sz w:val="18"/>
        </w:rPr>
        <w:t xml:space="preserve">Stand: 25.08.2026 (konsolidierte Textfassung, kein amtliches Inkrafttretensdatum)</w:t>
      </w:r>
    </w:p>
    <w:p>
      <w:r>
        <w:t xml:space="preserve">Zu dem erforderlichen Aufwand für die Wahrnehmung der übertragenen staatlichen Aufgaben gehören die hierbei anfallenden tatsächlichen Personalaufwendungen, Sachaufwendungen und der sonstige Aufwand im jeweils notwendigen Umfang. Zu dem sonstigen Aufwand zählt auch der anteilige Aufwand des Studentenwerks aus der allgemeinen Verwaltung und Geschäftsführung.</w:t>
      </w:r>
    </w:p>
    <w:p>
      <w:r>
        <w:rPr>
          <w:color w:val="555555"/>
          <w:sz w:val="17"/>
        </w:rPr>
        <w:t xml:space="preserve">Zitiervorschlag: § 9 StudWV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https://recht.nulegal.eu/gesetze/StudWV/9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