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StudAustKomRV</w:t>
      </w:r>
    </w:p>
    <w:p>
      <w:r>
        <w:rPr>
          <w:color w:val="555555"/>
          <w:sz w:val="18"/>
        </w:rPr>
        <w:t xml:space="preserve">Verordnung über die Gewährung von Vorrechten und Befreiungen an die Kommission für den Studenten- und Dozentenaustausch zwischen der Bundesrepublik Deutschland und den Vereinigten Staaten von Amerika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an dem Tage in Kraft, an dem das Abkommen vom 20. November 1962 nach seinem Artikel 13 Abs. 2 in Kraft tritt.</w:t>
      </w:r>
    </w:p>
    <w:p>
      <w:r>
        <w:t xml:space="preserve">(2) Diese Verordnung tritt an dem Tage außer Kraft, an dem das Abkommen vom 20. November 1962 außer Kraft tritt.</w:t>
      </w:r>
    </w:p>
    <w:p>
      <w:r>
        <w:t xml:space="preserve">(3) Der Tag des Inkrafttretens und des Außerkrafttretens ist im Bundesgesetzblatt bekanntzugeben.</w:t>
      </w:r>
    </w:p>
    <w:p>
      <w:r>
        <w:rPr>
          <w:color w:val="555555"/>
          <w:sz w:val="17"/>
        </w:rPr>
        <w:t xml:space="preserve">Zitiervorschlag: § 3 StudAustKomRV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https://recht.nulegal.eu/gesetze/StudAustKomRV/3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