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StudAkkV (Brandenburg) — Verbindung mit Verfahren, die die berufszulassungsrechtliche Eignung eines Studiengangs zum Gegenstand haben</w:t>
      </w:r>
    </w:p>
    <w:p>
      <w:r>
        <w:rPr>
          <w:color w:val="555555"/>
          <w:sz w:val="18"/>
        </w:rPr>
        <w:t xml:space="preserve">Studienakkreditierungsverordnung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Akkreditierungsverfahren gemäß Artikel 3 Absatz 1 Nummer 1 und 2 des Studienakkreditierungsstaatsvertrages können auf Antrag der Hochschule mit Verfahren, die über die berufszulassungsrechtliche Eignung eines Studiengangs entscheiden, organisatorisch verbunden werden.</w:t>
      </w:r>
    </w:p>
    <w:p>
      <w:r>
        <w:t xml:space="preserve">(2) Die Beteiligung von zusätzlich zu den anderen Vertreterinnen oder Vertretern der Berufspraxis zu berufenden externen Expertinnen oder Experten mit beratender Funktion in den Gutachtergremien gemäß § 25 Absatz 1 und 2 erfolgt durch Benennung der für den reglementierten Beruf jeweils zuständigen staatlichen Stelle.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35 StudAkkV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https://recht.nulegal.eu/gesetze/StudAkkV/35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StudAkkV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