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StudAkkV (Brandenburg) — Formen der Akkreditierung</w:t>
      </w:r>
    </w:p>
    <w:p>
      <w:r>
        <w:rPr>
          <w:color w:val="555555"/>
          <w:sz w:val="18"/>
        </w:rPr>
        <w:t xml:space="preserve">Studienakkreditierungsverordnung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Formen der Akkreditierung sind die Verfahren nach Artikel 3 Absatz 1 Nummer 1 des Studienakkreditierungsstaatsvertrages (Systemakkreditierung), nach Artikel 3 Absatz 1 Nummer 2 (Programmakkreditierung) oder alternative Akkreditierungsverfahren nach Artikel 3 Absatz 1 Nummer 3.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StudAkkV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https://recht.nulegal.eu/gesetze/StudAkkV/2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