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StudAkkV (Brandenburg) — Sonderregelungen für Joint Programmes</w:t>
      </w:r>
    </w:p>
    <w:p>
      <w:r>
        <w:rPr>
          <w:color w:val="555555"/>
          <w:sz w:val="18"/>
        </w:rPr>
        <w:t xml:space="preserve">Studienakkreditierungsverordnung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Joint Programmes finden die Regelungen in § 11 Absatz 1 und 2, § 12 Absatz 1 Satz 1 bis 3, Absatz 2 Satz 1, Absatz 3 und 4 sowie § 14 entsprechend Anwendung. Im Übrigen finden die Regelungen des Teil 3 keine Anwendung. Daneben gilt:</w:t>
      </w:r>
    </w:p>
    <w:p>
      <w:r>
        <w:t xml:space="preserve">Die Zugangsanforderungen und Auswahlverfahren sind der Niveaustufe und der Fachdisziplin, in der der Studiengang angesiedelt ist, angemessen.</w:t>
      </w:r>
    </w:p>
    <w:p>
      <w:r>
        <w:t xml:space="preserve">Es kann nachgewiesen werden, dass mit dem Studiengang die angestrebten Lernergebnisse erreicht werden.</w:t>
      </w:r>
    </w:p>
    <w:p>
      <w:r>
        <w:t xml:space="preserve">Soweit einschlägig, sind die Vorgaben der Richtlinie 2005/36/ EG des Europäischen Parlaments und des Rates vom 7. September 2005 über die Anerkennung von Berufsqualifikationen ( ABl. L 255 vom 30.9.2005, S. 22; L 271 vom 16.10.2007, S. 18; L 93 vom 4.4.2008, S. 28; L 33 vom 3.2.2009, S. 49; L 305 vom 24.10.2014, S. 115), die zuletzt durch die Richtlinie 2013/55/EU (ABl. L 354 vom 28.12.2013, S. 132; L 268 vom 15.10.2015, S. 35; L 95 vom 9.4.2016, S. 20) geändert worden ist, berücksichtigt.</w:t>
      </w:r>
    </w:p>
    <w:p>
      <w:r>
        <w:t xml:space="preserve">Bei der Betreuung, der Gestaltung des Studiengangs und den angewendeten Lehr- und Lernformen werden die Vielfalt der Studierenden und ihrer Bedürfnisse respektiert und die spezifischen Anforderungen mobiler Studierender berücksichtigt.</w:t>
      </w:r>
    </w:p>
    <w:p>
      <w:r>
        <w:t xml:space="preserve">Das Qualitätsmanagementsystem der Hochschule gewährleistet die Umsetzung der vorstehenden und der in § 17 genannten Maßgaben.</w:t>
      </w:r>
    </w:p>
    <w:p>
      <w:r>
        <w:t xml:space="preserve">(2) Wird ein Joint Programme von einer inländischen Hochschule gemeinsam mit einer oder mehreren Hochschulen ausländischer Staaten koordiniert und angeboten, die nicht dem Europäischen Hochschulraum angehören (außereuropäische Kooperationspartner), so findet auf Antrag der inländischen Hochschule Absatz 1 entsprechende Anwendung, wenn sich die außereuropäischen Kooperationspartner in der Kooperationsvereinbarung mit der inländischen Hochschule zu einer Akkreditierung unter Anwendung der in Absatz 1 sowie der in § 10 Absatz 1 und 2 und § 33 Absatz 1 geregelten Kriterien und Verfahrensregeln verpflichtet.</w:t>
      </w:r>
    </w:p>
    <w:p>
      <w:r>
        <w:t xml:space="preserve">Einzelnorm</w:t>
      </w:r>
    </w:p>
    <w:p>
      <w:r>
        <w:rPr>
          <w:color w:val="555555"/>
          <w:sz w:val="17"/>
        </w:rPr>
        <w:t xml:space="preserve">Zitiervorschlag: § 16 StudAkkV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https://recht.nulegal.eu/gesetze/StudAkkV/16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StudAkkV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