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StudAkkV (Brandenburg) — Studienerfolg</w:t>
      </w:r>
    </w:p>
    <w:p>
      <w:r>
        <w:rPr>
          <w:color w:val="555555"/>
          <w:sz w:val="18"/>
        </w:rPr>
        <w:t xml:space="preserve">Studienakkreditierungsverordnung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Studiengang unterliegt unter Beteiligung von Studierenden und Absolventinnen und Absolventen einem kontinuierlichen Monitoring. Auf dieser Grundlage werden Maßnahmen zur Sicherung des Studienerfolgs abgeleitet. Diese werden fortlaufend überprüft und die Ergebnisse für die Weiterentwicklung des Studiengangs genutzt. Die Beteiligten werden über die Ergebnisse und die ergriffenen Maßnahmen unter Beachtung datenschutzrechtlicher Belange informiert.</w:t>
      </w:r>
    </w:p>
    <w:p>
      <w:r>
        <w:t xml:space="preserve">Einzelnorm</w:t>
      </w:r>
    </w:p>
    <w:p>
      <w:r>
        <w:rPr>
          <w:color w:val="555555"/>
          <w:sz w:val="17"/>
        </w:rPr>
        <w:t xml:space="preserve">Zitiervorschlag: § 14 StudAkkV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https://recht.nulegal.eu/gesetze/StudAkkV/14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StudAkkV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