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StuSembSV (Bayern)</w:t>
      </w:r>
    </w:p>
    <w:p>
      <w:r>
        <w:rPr>
          <w:color w:val="555555"/>
          <w:sz w:val="18"/>
        </w:rPr>
        <w:t xml:space="preserve">Studienseminarverordnung berufliche 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Diese Verordnung tritt mit Wirkung vom 1. August 2011 in Kraft. Mit Ablauf des 31. Juli 2011 tritt die Verordnung über die Errichtung der Staatlichen Studienseminare für das Lehramt an beruflichen Schulen vom 18. Juli 1991 (GVBl S. 320, BayRS 2038-3-4-8-1-UK) außer Kraft.</w:t>
      </w:r>
    </w:p>
    <w:p>
      <w:r>
        <w:rPr>
          <w:color w:val="555555"/>
          <w:sz w:val="17"/>
        </w:rPr>
        <w:t xml:space="preserve">Zitiervorschlag: § 5 StuSembSV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https://recht.nulegal.eu/gesetze/StuSembSV/5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