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StuSembSV (Bayern)</w:t>
      </w:r>
    </w:p>
    <w:p>
      <w:r>
        <w:rPr>
          <w:color w:val="555555"/>
          <w:sz w:val="18"/>
        </w:rPr>
        <w:t xml:space="preserve">Studienseminarverordnung berufliche 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Übergeordnete Dienststelle im Sinn der Verwaltungsvorschriften zur Bayerischen Haushaltsordnung ist die Regierung von Oberbayern. Als Amtskasse wird die Staatsoberkasse Bayern in Landshut bestimmt.</w:t>
      </w:r>
    </w:p>
    <w:p>
      <w:r>
        <w:rPr>
          <w:color w:val="555555"/>
          <w:sz w:val="17"/>
        </w:rPr>
        <w:t xml:space="preserve">Zitiervorschlag: § 3 StuSembSV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https://recht.nulegal.eu/gesetze/StuSembSV/3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