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StuSembSV (Bayern)</w:t>
      </w:r>
    </w:p>
    <w:p>
      <w:r>
        <w:rPr>
          <w:color w:val="555555"/>
          <w:sz w:val="18"/>
        </w:rPr>
        <w:t xml:space="preserve">Studienseminarverordnung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Staatlichen Studienseminar obliegt in Ausführung des Bayerischen Lehrerbildungsgesetzes, der Zulassungs- und Ausbildungsordnung für das Lehramt an beruflichen Schulen und der Lehramtsprüfungsordnung II die Gesamtausbildung der Studienreferendare.</w:t>
      </w:r>
    </w:p>
    <w:p>
      <w:r>
        <w:t xml:space="preserve">(2) Es nimmt die Fachaufsicht über die Abteilung IV des Staatsinstituts für die Ausbildung von Fachlehrern wahr.</w:t>
      </w:r>
    </w:p>
    <w:p>
      <w:r>
        <w:t xml:space="preserve">(3) Es wirkt hierfür mit vom Staatsministerium bestimmten beruflichen Schulen (Universitätsschulen) bei der Gestaltung der Praxisanteile während der universitären Lehramtsausbildung zusammen.</w:t>
      </w:r>
    </w:p>
    <w:p>
      <w:r>
        <w:rPr>
          <w:color w:val="555555"/>
          <w:sz w:val="17"/>
        </w:rPr>
        <w:t xml:space="preserve">Zitiervorschlag: § 2 StuSembSV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https://recht.nulegal.eu/gesetze/StuSembSV/2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