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StuSembSV (Bayern)</w:t>
      </w:r>
    </w:p>
    <w:p>
      <w:r>
        <w:rPr>
          <w:color w:val="555555"/>
          <w:sz w:val="18"/>
        </w:rPr>
        <w:t xml:space="preserve">Studienseminarverordnung berufliche 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Ausbildung der Studienreferendare für das Lehramt an beruflichen Schulen wird ein Staatliches Studienseminar für das Lehramt an beruflichen Schulen errichtet; es ist dem Staatsministerium für Unterricht und Kultus (Staatsministerium) unmittelbar nachgeordnet, das weitere Bestimmungen zu dessen Verwaltung erlassen kann. Dem Staatlichen Studienseminar können auch weitere Verwaltungsaufgaben übertragen werden.</w:t>
      </w:r>
    </w:p>
    <w:p>
      <w:r>
        <w:t xml:space="preserve">(2) Das Staatliche Studienseminar hat seinen Sitz in München und eine Dienststelle in Nürnberg. Es wird durch einen vom Staatsministerium bestimmten Leitenden Seminarvorstand geleitet; dieser ist Dienstvorgesetzter der Seminarvorstände sowie der an das Studienseminar abgeordneten Lehrkräfte und regelt die Organisation des Studienseminars.</w:t>
      </w:r>
    </w:p>
    <w:p>
      <w:r>
        <w:rPr>
          <w:color w:val="555555"/>
          <w:sz w:val="17"/>
        </w:rPr>
        <w:t xml:space="preserve">Zitiervorschlag: § 1 StuSembSV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https://recht.nulegal.eu/gesetze/StuSembSV/1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