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StruKomLäG — Geltungsbeginn</w:t>
      </w:r>
    </w:p>
    <w:p>
      <w:r>
        <w:rPr>
          <w:color w:val="555555"/>
          <w:sz w:val="18"/>
        </w:rPr>
        <w:t xml:space="preserve">Strukturkomponente-für-Länder-Gesetz</w:t>
      </w:r>
    </w:p>
    <w:p>
      <w:r>
        <w:rPr>
          <w:color w:val="555555"/>
          <w:sz w:val="18"/>
        </w:rPr>
        <w:t xml:space="preserve">Stand: 24.10.2025 (konsolidierte Textfassung, kein amtliches Inkrafttretensdatum)</w:t>
      </w:r>
    </w:p>
    <w:p>
      <w:r>
        <w:t xml:space="preserve">Die gemäß § 2 für jedes Land ermittelte zulässige strukturelle Kreditaufnahme kann erstmals für das Haushaltsjahr 2025 in Anspruch genommen werden.</w:t>
      </w:r>
    </w:p>
    <w:p>
      <w:r>
        <w:rPr>
          <w:color w:val="555555"/>
          <w:sz w:val="17"/>
        </w:rPr>
        <w:t xml:space="preserve">Zitiervorschlag: § 3 StruKomLäG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https://recht.nulegal.eu/gesetze/StruKomL%C3%A4G/3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