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StruKomLäG — Verteilung der zulässigen strukturellen Kreditaufnahme für die Ländergesamtheit auf die einzelnen Länder gemäß Artikel 109 Absatz 3 Satz 6 und 7 des Grundgesetzes</w:t>
      </w:r>
    </w:p>
    <w:p>
      <w:r>
        <w:rPr>
          <w:color w:val="555555"/>
          <w:sz w:val="18"/>
        </w:rPr>
        <w:t xml:space="preserve">Strukturkomponente-für-Länder-Gesetz</w:t>
      </w:r>
    </w:p>
    <w:p>
      <w:r>
        <w:rPr>
          <w:color w:val="555555"/>
          <w:sz w:val="18"/>
        </w:rPr>
        <w:t xml:space="preserve">Stand: 24.10.2025 (konsolidierte Textfassung, kein amtliches Inkrafttretensdatum)</w:t>
      </w:r>
    </w:p>
    <w:p>
      <w:r>
        <w:t xml:space="preserve">(1) Die Verteilung der für die Gesamtheit der Länder nach § 1 zulässigen strukturellen Kreditaufnahme erfolgt zu zwei Dritteln nach dem Verhältnis der Steuereinnahmen gemäß § 7 Absatz 1 des Finanzausgleichsgesetzes vom 20. Dezember 2001 (BGBl. I S. 3955, 3956), das zuletzt durch Artikel 5 des Gesetzes vom 24. Februar 2025 (BGBl. 2025 I Nr. 57) geändert worden ist, unter Hinzurechnung von Zu- und Abschlägen gemäß § 10 des Finanzausgleichsgesetzes und zu einem Drittel nach dem Verhältnis der Einwohnerzahlen gemäß § 9 Absatz 1 des Finanzausgleichsgesetzes. Zugrunde zu legen sind jeweils die Daten des Jahres, das dem Jahr, für das der Haushalt aufgestellt wird, zwei Jahre vorangeht.Als Datengrundlage ist die Verordnung gemäß § 12 des Finanzausgleichsgesetzes des in Satz 2 genannten Jahres heranzuziehen. Die Berechnung der Verteilungsverhältnisse gemäß Satz 1 erfolgt durch das Bundesministerium der Finanzen. Sofern die in Satz 3 genannte Verordnung nicht vorliegt, ist als Datengrundlage die vorläufige Jahresrechnung heranzuziehen, die vom Bundesministerium der Finanzen zum Zweck der vierten Quartalsabrechnung gemäß § 14 Absatz 3 des Finanzausgleichsgesetzes im jeweils ersten Quartal des auf ein Ausgleichsjahr folgenden Jahres erstellt wird. Eine nachträgliche Korrekturberechnung erfolgt nicht.</w:t>
      </w:r>
    </w:p>
    <w:p>
      <w:r>
        <w:t xml:space="preserve">(2) Abweichend von Absatz 1 sind für das Jahr 2025 für die Verteilung der für die Gesamtheit der Länder nach § 1 zulässigen strukturellen Kreditaufnahme in dem in Absatz 1 Satz 5 genannten Fall die folgenden Anteile vorzusehen:</w:t>
      </w:r>
    </w:p>
    <w:p>
      <w:r>
        <w:rPr>
          <w:rFonts w:ascii="Courier New" w:hAnsi="Courier New"/>
          <w:sz w:val="17"/>
        </w:rPr>
        <w:t xml:space="preserve">Nordrhein-Westfalen:    21,185729515 Prozent</w:t>
      </w:r>
    </w:p>
    <w:p>
      <w:r>
        <w:rPr>
          <w:rFonts w:ascii="Courier New" w:hAnsi="Courier New"/>
          <w:sz w:val="17"/>
        </w:rPr>
        <w:t xml:space="preserve">Bayern:    15,815236181 Prozent</w:t>
      </w:r>
    </w:p>
    <w:p>
      <w:r>
        <w:rPr>
          <w:rFonts w:ascii="Courier New" w:hAnsi="Courier New"/>
          <w:sz w:val="17"/>
        </w:rPr>
        <w:t xml:space="preserve">Baden-Württemberg:    13,295583421 Prozent</w:t>
      </w:r>
    </w:p>
    <w:p>
      <w:r>
        <w:rPr>
          <w:rFonts w:ascii="Courier New" w:hAnsi="Courier New"/>
          <w:sz w:val="17"/>
        </w:rPr>
        <w:t xml:space="preserve">Niedersachsen:    9,497367327 Prozent</w:t>
      </w:r>
    </w:p>
    <w:p>
      <w:r>
        <w:rPr>
          <w:rFonts w:ascii="Courier New" w:hAnsi="Courier New"/>
          <w:sz w:val="17"/>
        </w:rPr>
        <w:t xml:space="preserve">Hessen:    7,403213757 Prozent</w:t>
      </w:r>
    </w:p>
    <w:p>
      <w:r>
        <w:rPr>
          <w:rFonts w:ascii="Courier New" w:hAnsi="Courier New"/>
          <w:sz w:val="17"/>
        </w:rPr>
        <w:t xml:space="preserve">Sachsen:    4,716930888 Prozent</w:t>
      </w:r>
    </w:p>
    <w:p>
      <w:r>
        <w:rPr>
          <w:rFonts w:ascii="Courier New" w:hAnsi="Courier New"/>
          <w:sz w:val="17"/>
        </w:rPr>
        <w:t xml:space="preserve">Rheinland-Pfalz:    4,724931493 Prozent</w:t>
      </w:r>
    </w:p>
    <w:p>
      <w:r>
        <w:rPr>
          <w:rFonts w:ascii="Courier New" w:hAnsi="Courier New"/>
          <w:sz w:val="17"/>
        </w:rPr>
        <w:t xml:space="preserve">Sachsen-Anhalt:    2,505081662 Prozent</w:t>
      </w:r>
    </w:p>
    <w:p>
      <w:r>
        <w:rPr>
          <w:rFonts w:ascii="Courier New" w:hAnsi="Courier New"/>
          <w:sz w:val="17"/>
        </w:rPr>
        <w:t xml:space="preserve">Schleswig-Holstein:    3,441987387 Prozent</w:t>
      </w:r>
    </w:p>
    <w:p>
      <w:r>
        <w:rPr>
          <w:rFonts w:ascii="Courier New" w:hAnsi="Courier New"/>
          <w:sz w:val="17"/>
        </w:rPr>
        <w:t xml:space="preserve">Thüringen:    2,450648957 Prozent</w:t>
      </w:r>
    </w:p>
    <w:p>
      <w:r>
        <w:rPr>
          <w:rFonts w:ascii="Courier New" w:hAnsi="Courier New"/>
          <w:sz w:val="17"/>
        </w:rPr>
        <w:t xml:space="preserve">Brandenburg:    3,033652425 Prozent</w:t>
      </w:r>
    </w:p>
    <w:p>
      <w:r>
        <w:rPr>
          <w:rFonts w:ascii="Courier New" w:hAnsi="Courier New"/>
          <w:sz w:val="17"/>
        </w:rPr>
        <w:t xml:space="preserve">Mecklenburg-Vorpommern:    1,858958454 Prozent</w:t>
      </w:r>
    </w:p>
    <w:p>
      <w:r>
        <w:rPr>
          <w:rFonts w:ascii="Courier New" w:hAnsi="Courier New"/>
          <w:sz w:val="17"/>
        </w:rPr>
        <w:t xml:space="preserve">Saarland:    1,173505842 Prozent</w:t>
      </w:r>
    </w:p>
    <w:p>
      <w:r>
        <w:rPr>
          <w:rFonts w:ascii="Courier New" w:hAnsi="Courier New"/>
          <w:sz w:val="17"/>
        </w:rPr>
        <w:t xml:space="preserve">Berlin:    5,222546475 Prozent</w:t>
      </w:r>
    </w:p>
    <w:p>
      <w:r>
        <w:rPr>
          <w:rFonts w:ascii="Courier New" w:hAnsi="Courier New"/>
          <w:sz w:val="17"/>
        </w:rPr>
        <w:t xml:space="preserve">Hamburg:    2,693224867 Prozent</w:t>
      </w:r>
    </w:p>
    <w:p>
      <w:r>
        <w:rPr>
          <w:rFonts w:ascii="Courier New" w:hAnsi="Courier New"/>
          <w:sz w:val="17"/>
        </w:rPr>
        <w:t xml:space="preserve">Bremen:    0,981401349 Prozent</w:t>
      </w:r>
    </w:p>
    <w:p>
      <w:r>
        <w:t xml:space="preserve">Absatz 1 Satz 6 bleibt unberührt.</w:t>
      </w:r>
    </w:p>
    <w:p>
      <w:r>
        <w:t xml:space="preserve">(3) Das Bundesministerium der Finanzen berechnet ausgehend von der nach § 1 ermittelten zulässigen strukturellen Kreditaufnahme für die Gesamtheit der Länder unter Anwendung der nach den Absätzen 1 und 2 berechneten Verteilungsverhältnisse die zulässige strukturelle Kreditaufnahme für jedes einzelne Land. Die Ergebnisse stellt das Bundesministerium der Finanzen den Ländern jeweils zum 1. April eines Jahres zur Verfügung. Die ermittelte zulässige strukturelle Kreditaufnahme für jedes einzelne Land ist maßgeblich für das Haushaltsjahr, das dem Jahr der Berechnung folgt, und kann weder gänzlich noch teilweise in ein anderes Haushaltsjahr übertragen werden. Die für die Haushaltsjahre 2025 und 2026 maßgeblichen Ergebnisse werden abweichend von Satz 2 nach Inkrafttreten dieses Gesetzes zur Verfügung gestellt.</w:t>
      </w:r>
    </w:p>
    <w:p>
      <w:r>
        <w:rPr>
          <w:color w:val="555555"/>
          <w:sz w:val="17"/>
        </w:rPr>
        <w:t xml:space="preserve">Zitiervorschlag: § 2 StruKomLäG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https://recht.nulegal.eu/gesetze/StruKomL%C3%A4G/2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