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StromVKG — Emissionsgrenzwert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Die Anlage darf keine Emissionen von mehr als 550 Gramm Kohlenstoffdioxid aus fossilen Brennstoffen je Kilowattstunde erzeugter Elektrizität ausstoßen.</w:t>
      </w:r>
    </w:p>
    <w:p>
      <w:r>
        <w:t xml:space="preserve">(2) Bei Geboten für einen Anlagenpool ist Absatz 1 entsprechend für jede Einzelanlage des Anlagenpools anzuwenden.</w:t>
      </w:r>
    </w:p>
    <w:p>
      <w:r>
        <w:rPr>
          <w:color w:val="555555"/>
          <w:sz w:val="17"/>
        </w:rPr>
        <w:t xml:space="preserve">Zitiervorschlag: § 9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