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85 StromVKG — Verordnungsermächtigung</w:t>
      </w:r>
    </w:p>
    <w:p>
      <w:r>
        <w:rPr>
          <w:color w:val="555555"/>
          <w:sz w:val="18"/>
        </w:rPr>
        <w:t xml:space="preserve">Strom-Versorgungssicherheits-und-Kapazitätengesetz</w:t>
      </w:r>
    </w:p>
    <w:p>
      <w:r>
        <w:rPr>
          <w:color w:val="555555"/>
          <w:sz w:val="18"/>
        </w:rPr>
        <w:t xml:space="preserve">Stand: 23.07.2026 (konsolidierte Textfassung, kein amtliches Inkrafttretensdatum)</w:t>
      </w:r>
    </w:p>
    <w:p>
      <w:r>
        <w:t xml:space="preserve">Das Bundesministerium für Wirtschaft und Energie wird ermächtigt, durch Rechtsverordnung, die nicht der Zustimmung des Bundesrates bedarf, zu regeln:</w:t>
      </w:r>
    </w:p>
    <w:p>
      <w:pPr>
        <w:ind w:left="420"/>
      </w:pPr>
      <w:r>
        <w:t xml:space="preserve">1. für die Ausschreibung für Erzeugungskapazitäten und für die Ausschreibungen für Kapazitäten</w:t>
      </w:r>
    </w:p>
    <w:p>
      <w:pPr>
        <w:ind w:left="780"/>
      </w:pPr>
      <w:r>
        <w:t xml:space="preserve">a) konkretisierende Vorgaben zur Ermittlung des Gesamtbedarfs an Kapazitäten sowie des Ausschreibungsvolumens auf Grundlage von § 6 Absatz 2 und 3 in Verbindung mit Anlage 1 und</w:t>
      </w:r>
    </w:p>
    <w:p>
      <w:pPr>
        <w:ind w:left="780"/>
      </w:pPr>
      <w:r>
        <w:t xml:space="preserve">b) konkretisierende Vorgaben zur Bestimmung von Reduktionsfaktoren und zur Ermittlung des durchschnittlichen Leistungsbeitrags von Technologieklassen auf Grundlage von § 23 Absatz 1 in Verbindung mit Anlage 3,</w:t>
      </w:r>
    </w:p>
    <w:p>
      <w:pPr>
        <w:ind w:left="420"/>
      </w:pPr>
      <w:r>
        <w:t xml:space="preserve">2. für sämtliche Ausschreibungen nach diesem Gesetz</w:t>
      </w:r>
    </w:p>
    <w:p>
      <w:pPr>
        <w:ind w:left="780"/>
      </w:pPr>
      <w:r>
        <w:t xml:space="preserve">a) Konkretisierungen der Regelungen zur Anrechenbarkeit von Investitionen auf das Erreichen der Mindestinvestitionsschwellen nach § 14 Absatz 2 in Verbindung mit Anlage 5,</w:t>
      </w:r>
    </w:p>
    <w:p>
      <w:pPr>
        <w:ind w:left="780"/>
      </w:pPr>
      <w:r>
        <w:t xml:space="preserve">b) konkretisierende Vorgaben zum Präqualifizierungsverfahren nach den Abschnitten 5 und 8, insbesondere zur Erbringung des Herkunftsnachweises beziehungsweise vergleichbarer Nachweise nach § 15 Absatz 2 in Verbindung mit § 62 Absatz 1 Nummer 6 Buchstabe d, und</w:t>
      </w:r>
    </w:p>
    <w:p>
      <w:pPr>
        <w:ind w:left="780"/>
      </w:pPr>
      <w:r>
        <w:t xml:space="preserve">c) die Bundesnetzagentur zu ermächtigen, zur näheren Bestimmung der Regelungen im Anwendungsbereich dieses Gesetzes konkretisierende Vorgaben durch Festlegungen nach § 29 Absatz 1 des Energiewirtschaftsgesetzes zu treffen.</w:t>
      </w:r>
    </w:p>
    <w:p>
      <w:r>
        <w:rPr>
          <w:color w:val="555555"/>
          <w:sz w:val="17"/>
        </w:rPr>
        <w:t xml:space="preserve">Zitiervorschlag: § 85 StromVKG</w:t>
      </w:r>
    </w:p>
    <w:p>
      <w:r>
        <w:rPr>
          <w:color w:val="555555"/>
          <w:sz w:val="17"/>
        </w:rPr>
        <w:t xml:space="preserve">Quelle: Bundesamt für Justiz, abgerufen 23.07.2026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https://recht.nulegal.eu/gesetze/StromVKG/85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