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StromVKG — Festlegungskompetenzen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Die Bundesnetzagentur kann Festlegungen nach § 29 Absatz 1 des Energiewirtschaftsgesetzes treffen</w:t>
      </w:r>
    </w:p>
    <w:p>
      <w:pPr>
        <w:ind w:left="420"/>
      </w:pPr>
      <w:r>
        <w:t xml:space="preserve">1. zur Änderung der Gebotstermine für die Ausschreibungen für Kapazitäten im Einvernehmen mit dem Bundesministerium für Wirtschaft und Energie nach § 6 Absatz 1,</w:t>
      </w:r>
    </w:p>
    <w:p>
      <w:pPr>
        <w:ind w:left="420"/>
      </w:pPr>
      <w:r>
        <w:t xml:space="preserve">2. zur Anpassung der Mindestinvestitionsschwellen nach § 14 Absatz 1 sowie</w:t>
      </w:r>
    </w:p>
    <w:p>
      <w:pPr>
        <w:ind w:left="420"/>
      </w:pPr>
      <w:r>
        <w:t xml:space="preserve">3. zur Konkretisierung der Regelungen zur Anrechenbarkeit von Investitionen auf das Erreichen der Mindestinvestitionsschwellen nach § 14 Absatz 2 in Verbindung mit Anlage 5 sowie zum Verfahren und Format für die Nachweisführung zur Anrechenbarkeit.</w:t>
      </w:r>
    </w:p>
    <w:p>
      <w:r>
        <w:rPr>
          <w:color w:val="555555"/>
          <w:sz w:val="17"/>
        </w:rPr>
        <w:t xml:space="preserve">Zitiervorschlag: § 84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