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StromVKG — Abrechnung, Fälligkeit</w:t>
      </w:r>
    </w:p>
    <w:p>
      <w:r>
        <w:rPr>
          <w:color w:val="555555"/>
          <w:sz w:val="18"/>
        </w:rPr>
        <w:t xml:space="preserve">Strom-Versorgungssicherheits-und-Kapazitätengesetz</w:t>
      </w:r>
    </w:p>
    <w:p>
      <w:r>
        <w:rPr>
          <w:color w:val="555555"/>
          <w:sz w:val="18"/>
        </w:rPr>
        <w:t xml:space="preserve">Stand: 23.07.2026 (konsolidierte Textfassung, kein amtliches Inkrafttretensdatum)</w:t>
      </w:r>
    </w:p>
    <w:p>
      <w:r>
        <w:t xml:space="preserve">(1) Der zuständige Übertragungsnetzbetreiber teilt dem Kapazitätsverpflichteten den zu leistenden Betrag für den Preisspitzenausgleich für einen Kalendermonat spätestens 60 Werktage nach Ablauf des Kalendermonats mit.</w:t>
      </w:r>
    </w:p>
    <w:p>
      <w:r>
        <w:t xml:space="preserve">(2) Die Zahlung ist durch den Kapazitätsverpflichteten innerhalb von 10 Werktagen nach Zugang der Mitteilung zu leisten und ab dem 11. Werktag mit für das Jahr 5 Prozentpunkten über dem Basiszinssatz zu verzinsen. Der zuständige Übertragungsnetzbetreiber verrechnet etwaige Zahlungsrückstände zuzüglich aufgelaufener Zinsen mit der Kapazitätsvergütung und den Ausgleichsprämien.</w:t>
      </w:r>
    </w:p>
    <w:p>
      <w:r>
        <w:rPr>
          <w:color w:val="555555"/>
          <w:sz w:val="17"/>
        </w:rPr>
        <w:t xml:space="preserve">Zitiervorschlag: § 82 StromVKG</w:t>
      </w:r>
    </w:p>
    <w:p>
      <w:r>
        <w:rPr>
          <w:color w:val="555555"/>
          <w:sz w:val="17"/>
        </w:rPr>
        <w:t xml:space="preserve">Quelle: Bundesamt für Justiz, abgerufen 23.07.2026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https://recht.nulegal.eu/gesetze/StromVKG/82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