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StromVKG — Stromnetzanschluss</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Die Anlage muss mindestens in Höhe der gebotenen nominalen Leistung einen Stromnetzanschluss oder in dieser Höhe eine verbindliche Zusage des Anschlussnetzbetreibers für einen solchen Stromnetzanschluss bis spätestens zum Beginn des Verpflichtungszeitraums haben.</w:t>
      </w:r>
    </w:p>
    <w:p>
      <w:r>
        <w:t xml:space="preserve">(2) Absatz 1 ist bei Anlagenpools mit der Maßgabe anzuwenden, dass jede Einzelanlage des Anlagenpools in Höhe der nominalen Leistung, die sie zur nominalen gebotenen Leistung des Anlagenpools beiträgt, einen Stromnetzanschluss oder eine verbindliche Zusage des Anschlussnetzbetreibers für einen solchen Stromnetzanschluss bis spätestens zum Beginn des Verpflichtungszeitraums haben muss.</w:t>
      </w:r>
    </w:p>
    <w:p>
      <w:r>
        <w:rPr>
          <w:color w:val="555555"/>
          <w:sz w:val="17"/>
        </w:rPr>
        <w:t xml:space="preserve">Zitiervorschlag: § 8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