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StromVKG — Abrechnung und Fristen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Der zuständige Übertragungsnetzbetreiber teilt dem Kapazitätsverpflichteten und dem ungebundenen Kapazitätsanbieter innerhalb von 60 Werktagen nach Ablauf eines jeden Verpflichtungsjahres die von dem Kapazitätsverpflichteten aufgrund der bis dahin vorliegenden Daten zu leistenden Ausgleichszahlungen beziehungsweise die an den Kapazitätsverpflichteten und den ungebundenen Kapazitätsanbieter zu leistenden Ausgleichsprämien für jede Abrechnungsperiode vorläufig mit.</w:t>
      </w:r>
    </w:p>
    <w:p>
      <w:r>
        <w:t xml:space="preserve">(2) Gegenüber Kapazitätsverpflichteten sind die vorläufigen Ausgleichszahlungen mit der Kapazitätsvergütung und den vorläufigen Ausgleichsprämien zu verrechnen. Übersteigen die vorläufigen Ausgleichszahlungen die Kapazitätsvergütung und die vorläufigen Ausgleichsprämien, hat der Kapazitätsverpflichtete die Zahlung innerhalb von 10 Werktagen nach Zugang der Mitteilung zu leisten und ab dem 11. Werktag mit für das Jahr 5 Prozentpunkten über dem Basissatz zu verzinsen.</w:t>
      </w:r>
    </w:p>
    <w:p>
      <w:r>
        <w:t xml:space="preserve">(3) Die vorläufige Ausgleichsprämie ist 60 Werktage nach Ablauf eines Verpflichtungsjahres an den Kapazitätsverpflichteten unbeschadet des Absatzes 2 und den ungebundenen Kapazitätsanbieter auszuzahlen.</w:t>
      </w:r>
    </w:p>
    <w:p>
      <w:r>
        <w:t xml:space="preserve">(4) Der zuständige Übertragungsnetzbetreiber erstellt zum Ende des 7. Monats nach Ende des Verpflichtungsjahres für jeden Kapazitätsverpflichteten und ungebundenen Kapazitätsanbieter eine Schlussabrechnung über die endgültigen Ausgleichszahlungen und endgültigen Ausgleichsprämien des Verpflichtungsjahres. Sich hieraus ergebende Differenzen zu den vorläufigen Ausgleichszahlungen beziehungsweise vorläufigen Ausgleichsprämien sind innerhalb von 10 Werktagen nach dem Datum der Schlussrechnungslegung zu leisten und ab dem 11. Werktag mit für das Jahr 5 Prozentpunkten über dem Basiszinssatz zu verzinsen.</w:t>
      </w:r>
    </w:p>
    <w:p>
      <w:r>
        <w:rPr>
          <w:color w:val="555555"/>
          <w:sz w:val="17"/>
        </w:rPr>
        <w:t xml:space="preserve">Zitiervorschlag: § 79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