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StromVKG — Ausgleichsprämie für Verfügbarkeitsüberschussmengen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Jeder Kapazitätsverpflichtete und jeder ungebundene Kapazitätsanbieter hat für von ihm geleistete Verfügbarkeitsüberschussmengen in einer Abrechnungsperiode einen Anspruch auf eine Ausgleichsprämie gegen den zuständigen Übertragungsnetzbetreiber.</w:t>
      </w:r>
    </w:p>
    <w:p>
      <w:r>
        <w:t xml:space="preserve">(2) Die Höhe der Ausgleichsprämie für eine Abrechnungsperiode ergibt sich aus dem Produkt der Verfügbarkeitsüberschussmenge nach § 68 Absatz 2 beziehungsweise nach § 71 Absatz 4 und dem Verrechnungspreis nach § 78.</w:t>
      </w:r>
    </w:p>
    <w:p>
      <w:r>
        <w:rPr>
          <w:color w:val="555555"/>
          <w:sz w:val="17"/>
        </w:rPr>
        <w:t xml:space="preserve">Zitiervorschlag: § 77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