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StromVKG — Kapazitätsvergütung</w:t>
      </w:r>
    </w:p>
    <w:p>
      <w:r>
        <w:rPr>
          <w:color w:val="555555"/>
          <w:sz w:val="18"/>
        </w:rPr>
        <w:t xml:space="preserve">Strom-Versorgungssicherheits-und-Kapazitätengesetz</w:t>
      </w:r>
    </w:p>
    <w:p>
      <w:r>
        <w:rPr>
          <w:color w:val="555555"/>
          <w:sz w:val="18"/>
        </w:rPr>
        <w:t xml:space="preserve">Stand: 23.07.2026 (konsolidierte Textfassung, kein amtliches Inkrafttretensdatum)</w:t>
      </w:r>
    </w:p>
    <w:p>
      <w:r>
        <w:t xml:space="preserve">(1) Der Kapazitätsverpflichtete hat einen Anspruch gegen den zuständigen Übertragungsnetzbetreiber auf die Kapazitätsvergütung in Höhe des Produkts aus dem Gebotswert und der gebotenen reduzierten Leistung während ihres Verpflichtungszeitraums.</w:t>
      </w:r>
    </w:p>
    <w:p>
      <w:r>
        <w:t xml:space="preserve">(2) Im Fall einer verpflichtungsfreien Nichtverfügbarkeit nach § 67 ist die Kapazitätsvergütung anteilig entsprechend dem Verhältnis der Kalendertage der verpflichtungsfreien Nichtverfügbarkeit zu allen Kalendertagen des Verpflichtungsjahres reduziert.</w:t>
      </w:r>
    </w:p>
    <w:p>
      <w:r>
        <w:t xml:space="preserve">(3) Der zuständige Übertragungsnetzbetreiber hat die Kapazitätsvergütung innerhalb von 60 Werktagen nach Beendigung eines jeden Verpflichtungsjahres an den Kapazitätsverpflichteten zu zahlen.</w:t>
      </w:r>
    </w:p>
    <w:p>
      <w:r>
        <w:rPr>
          <w:color w:val="555555"/>
          <w:sz w:val="17"/>
        </w:rPr>
        <w:t xml:space="preserve">Zitiervorschlag: § 74 StromVKG</w:t>
      </w:r>
    </w:p>
    <w:p>
      <w:r>
        <w:rPr>
          <w:color w:val="555555"/>
          <w:sz w:val="17"/>
        </w:rPr>
        <w:t xml:space="preserve">Quelle: Bundesamt für Justiz, abgerufen 23.07.2026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https://recht.nulegal.eu/gesetze/StromVKG/74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