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StromVKG — Ungebundene Kapazitätsanbieter, Indikativgebot für Verfügbarkeitsüberschussmengen</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Ein vollständig präqualifizierter Anlagenbetreiber kann als ungebundener Kapazitätsanbieter jederzeit mit einem Indikativgebot gegenüber dem zuständigen Übertragungsnetzbetreiber mit Wirkung ab der nächsten Abrechnungsperiode für Verfügbarkeitsüberschussmengen einen Anspruch auf Ausgleichsprämien nach § 77 verdienen. Die verpflichtende Eigenerklärung nach § 30 Absatz 1 Nummer 1 Buchstabe c muss die Abrechnungsperioden umfassen, für die das Indikativgebot abgegeben wird.</w:t>
      </w:r>
    </w:p>
    <w:p>
      <w:r>
        <w:t xml:space="preserve">(2) Ein Indikativgebot kann für Kapazitäten vollständig präqualifizierter Anlagen in dem Umfang abgegeben werden, in dem keine Kapazitätsverpflichtung erfüllt wird und sie nicht Gegenstand eines Indikativgebots sind. Wird mit der Anlage, für die das Indikativgebot abgegeben wird, auch eine Kapazitätsverpflichtung erfüllt, entsteht während einer verpflichtungsfreien Nichtverfügbarkeit nach § 67 dieser Anlage kein Anspruch auf eine Ausgleichsprämie. Indikativgebote für regelbare Lasten, Anlagen eines Kleinanlagenpools, grenzüberschreitende Indikativgebote sind nicht zulässig.</w:t>
      </w:r>
    </w:p>
    <w:p>
      <w:r>
        <w:t xml:space="preserve">(3) Ein Indikativgebot muss folgende Angaben enthalten:</w:t>
      </w:r>
    </w:p>
    <w:p>
      <w:pPr>
        <w:ind w:left="420"/>
      </w:pPr>
      <w:r>
        <w:t xml:space="preserve">1. die Angabe nach § 38 Absatz 1 Nummer 4 mit der Maßgabe, dass das Indikativgebot eine reduzierte Leistung von mindestens 1 Megawatt haben muss,</w:t>
      </w:r>
    </w:p>
    <w:p>
      <w:pPr>
        <w:ind w:left="420"/>
      </w:pPr>
      <w:r>
        <w:t xml:space="preserve">2. im Fall von Anlagen energiebegrenzter Technologieklassen die Angaben nach § 38 Absatz 1 Nummer 6 mit der Maßgabe, dass, wenn mit der Anlage bereits eine Kapazitätsverpflichtung oder ein Indikativgebot erfüllt wird, deren Höchsterbringungsdauer gewählt werden muss,</w:t>
      </w:r>
    </w:p>
    <w:p>
      <w:pPr>
        <w:ind w:left="420"/>
      </w:pPr>
      <w:r>
        <w:t xml:space="preserve">3. die Angabe aus § 38 Absatz 1 Nummer 8 und 9,</w:t>
      </w:r>
    </w:p>
    <w:p>
      <w:pPr>
        <w:ind w:left="420"/>
      </w:pPr>
      <w:r>
        <w:t xml:space="preserve">4. die Nennung der Abrechnungsperioden, in denen an der Abrechnung teilgenommen wird.</w:t>
      </w:r>
    </w:p>
    <w:p>
      <w:r>
        <w:t xml:space="preserve">(4) Der zuständige Übertragungsnetzbetreiber ermittelt die Verfügbarkeitsüberschussmengen eines Indikativgebots für jede nach Absatz 3 Nummer 4 benannte Abrechnungsperiode mit einem Verfügbarkeitsindikator nach Anlage 6. Verfügbarkeitsüberschussmengen eines Indikativgebots sind das Produkt aus der nach den §§ 69 und 70 nachgewiesenen reduzierten Leistung und dem Verfügbarkeitsindikator. Der maßgebliche Reduktionsfaktor ist derjenige, der vor Beginn des Verpflichtungsjahres zuletzt für das Verpflichtungsjahr in einer Ausschreibung nach diesem Gesetz angewendet wurde.</w:t>
      </w:r>
    </w:p>
    <w:p>
      <w:r>
        <w:t xml:space="preserve">(5) § 65 Absatz 3 ist entsprechend anzuwenden.</w:t>
      </w:r>
    </w:p>
    <w:p>
      <w:r>
        <w:rPr>
          <w:color w:val="555555"/>
          <w:sz w:val="17"/>
        </w:rPr>
        <w:t xml:space="preserve">Zitiervorschlag: § 71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