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StromVKG — Abrechnungsperiode, Hochpreisviertelstunde</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Ein Verpflichtungsjahr wird in Abrechnungsperioden unterteilt. Eine Abrechnungsperiode beträgt 1 Kalendermonat.</w:t>
      </w:r>
    </w:p>
    <w:p>
      <w:r>
        <w:t xml:space="preserve">(2) Eine Hochpreisviertelstunde entspricht einem Bilanzkreisabrechnungsintervall am Strommarkt, in dem der Spotmarktpreis für Strom den Aktivierungspreis nach Anlage 7 übersteigt.</w:t>
      </w:r>
    </w:p>
    <w:p>
      <w:r>
        <w:t xml:space="preserve">(3) Die Übertragungsnetzbetreiber können der Bundesnetzagentur bis spätestens 3 Monate vor Beginn eines Verpflichtungsjahres eine Methode vorlegen, nach der bestimmte Viertelstunden abweichend von Absatz 2 nicht als Hochpreisviertelstunden gelten, wenn ein in der Methode festzulegender Preisindex des untertägigen Stromhandels den Aktivierungspreis nach Anlage 7 um einen in der Methode festzulegenden Betrag unterschreitet, mindestens jedoch um 100 Euro je Megawattstunde. Die Bundesnetzagentur kann die Methode mit Wirkung ab dem nächsten Verpflichtungsjahr genehmigen. Die Übertragungsnetzbetreiber veröffentlichen eine genehmigte Methode auf der gemeinsamen Internetplattform (§ 26 Absatz 6).</w:t>
      </w:r>
    </w:p>
    <w:p>
      <w:r>
        <w:t xml:space="preserve">(4) Die Übertragungsnetzbetreiber ermitteln täglich den Aktivierungspreis nach Anlage 7 für den Folgetag und veröffentlichen diesen täglich bis 10 Uhr auf der gemeinsamen Internetplattform (§ 26 Absatz 6). Sie veröffentlichen täglich bis 14 Uhr, spätestens jedoch 30 Minuten nach Veröffentlichung der relevanten Preise durch die Strombörsen, für den Folgetag alle Viertelstunden, die Hochpreisviertelstunden nach Absatz 2 sind, und täglich bis 10 Uhr für den Vortag die Viertelstunden des Absatzes 3, jeweils auf der gemeinsamen Internetplattform (§ 26 Absatz 6).</w:t>
      </w:r>
    </w:p>
    <w:p>
      <w:r>
        <w:rPr>
          <w:color w:val="555555"/>
          <w:sz w:val="17"/>
        </w:rPr>
        <w:t xml:space="preserve">Zitiervorschlag: § 66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