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StromVKG — Verfügbarkeitsverpflichtung, Verfügbarkeitsindikator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Der Kapazitätsverpflichtete ist während des Verpflichtungszeitraums verpflichtet, mit der gebotsgegenständlichen Anlage die gebotene nominale Leistung für das Stromsystem verfügbar zu halten.</w:t>
      </w:r>
    </w:p>
    <w:p>
      <w:r>
        <w:t xml:space="preserve">(2) Der zuständige Übertragungsnetzbetreiber überprüft die Erfüllung der Verfügbarkeitsverpflichtung in allen Hochpreisviertelstunden. Dafür ermittelt er für das bezuschlagte Gebot für jede Abrechnungsperiode einen Verfügbarkeitsindikator nach Anlage 6 und ermittelt auf dessen Grundlage Verfügbarkeitsfehlmengen und Verfügbarkeitsüberschussmengen.</w:t>
      </w:r>
    </w:p>
    <w:p>
      <w:r>
        <w:t xml:space="preserve">(3) Der Kapazitätsverpflichtete hat dem zuständigen Übertragungsnetzbetreiber vollständige und aktuelle Daten zur Verfügung zu stellen, die für die Überprüfung nach Absatz 2 erforderlich sind. Daneben hat der Netzbetreiber, an dessen Netz die gebotsgegenständliche Anlage angeschlossen ist, sofern er nicht zuständiger Übertragungsnetzbetreiber ist, die ihm vorliegenden und für die Überprüfung nach Absatz 2 erforderlichen Daten dem zuständigen Übertragungsnetzbetreiber zur Verfügung zu stellen. Die Übertragungsnetzbetreiber können Format- und Meldewegvorgaben machen, die auf der gemeinsamen Internetplattform (§ 26 Absatz 6) zu veröffentlichen sind.</w:t>
      </w:r>
    </w:p>
    <w:p>
      <w:r>
        <w:rPr>
          <w:color w:val="555555"/>
          <w:sz w:val="17"/>
        </w:rPr>
        <w:t xml:space="preserve">Zitiervorschlag: § 65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