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StromVKG — Nichtrealisierungspönale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Ein Kapazitätsverpflichteter mit einem Zuschlag für einen Verpflichtungszeitraum von mehr als einem Verpflichtungsjahr muss die Nichtrealisierungspönale an den zuständigen Übertragungsnetzbetreiber leisten, wenn</w:t>
      </w:r>
    </w:p>
    <w:p>
      <w:pPr>
        <w:ind w:left="420"/>
      </w:pPr>
      <w:r>
        <w:t xml:space="preserve">1. der Antrag auf Abschluss der vorläufigen Präqualifizierung nach § 63 Absatz 3 abgelehnt wurde oder</w:t>
      </w:r>
    </w:p>
    <w:p>
      <w:pPr>
        <w:ind w:left="420"/>
      </w:pPr>
      <w:r>
        <w:t xml:space="preserve">2. der Kapazitätsverpflichtete innerhalb der Frist nach § 61 Absatz 2</w:t>
      </w:r>
    </w:p>
    <w:p>
      <w:pPr>
        <w:ind w:left="780"/>
      </w:pPr>
      <w:r>
        <w:t xml:space="preserve">a) den Antrag auf Abschluss der vorläufigen Präqualifizierung nicht gestellt hat oder</w:t>
      </w:r>
    </w:p>
    <w:p>
      <w:pPr>
        <w:ind w:left="780"/>
      </w:pPr>
      <w:r>
        <w:t xml:space="preserve">b) die Voraussetzungen für den Abschluss der vorläufigen Präqualifizierung nach § 63 Absatz 2 nicht erfüllt hat.</w:t>
      </w:r>
    </w:p>
    <w:p>
      <w:r>
        <w:t xml:space="preserve">(2) Die Nichtrealisierungspönale beträgt die gebotene reduzierte Leistung multipliziert mit</w:t>
      </w:r>
    </w:p>
    <w:p>
      <w:pPr>
        <w:ind w:left="420"/>
      </w:pPr>
      <w:r>
        <w:t xml:space="preserve">1. dem 1,5-fachen des Gebotswerts für Anlagen, die eine Mindestinvestitionsschwelle für einen Verpflichtungszeitraum von 15 Jahren erfüllen müssen, oder</w:t>
      </w:r>
    </w:p>
    <w:p>
      <w:pPr>
        <w:ind w:left="420"/>
      </w:pPr>
      <w:r>
        <w:t xml:space="preserve">2. dem Gebotswert für Anlagen, die eine Mindestinvestitionsschwelle für einen Verpflichtungszeitraum von 7 Jahren erfüllen müssen.</w:t>
      </w:r>
    </w:p>
    <w:p>
      <w:r>
        <w:t xml:space="preserve">(3) Die Nichtrealisierungspönale fällt in Fällen des Absatzes 1 Nummer 2 anteilig an in Höhe von</w:t>
      </w:r>
    </w:p>
    <w:p>
      <w:pPr>
        <w:ind w:left="420"/>
      </w:pPr>
      <w:r>
        <w:t xml:space="preserve">1. einem Zwölftel, wenn eine der Fristen um bis zu 2 Monate überschritten wird,</w:t>
      </w:r>
    </w:p>
    <w:p>
      <w:pPr>
        <w:ind w:left="420"/>
      </w:pPr>
      <w:r>
        <w:t xml:space="preserve">2. einem Achtel, wenn eine der Fristen um 2 bis 4 Monate überschritten wird,</w:t>
      </w:r>
    </w:p>
    <w:p>
      <w:pPr>
        <w:ind w:left="420"/>
      </w:pPr>
      <w:r>
        <w:t xml:space="preserve">3. einem Sechstel, wenn eine der Fristen um 4 bis 6 Monate überschritten wird,</w:t>
      </w:r>
    </w:p>
    <w:p>
      <w:pPr>
        <w:ind w:left="420"/>
      </w:pPr>
      <w:r>
        <w:t xml:space="preserve">4. einem Viertel wenn eine der Fristen um 6 bis 8 Monate überschritten wird,</w:t>
      </w:r>
    </w:p>
    <w:p>
      <w:pPr>
        <w:ind w:left="420"/>
      </w:pPr>
      <w:r>
        <w:t xml:space="preserve">5. der Hälfte, wenn eine der Fristen um 8 bis 10 Monate überschritten wird,</w:t>
      </w:r>
    </w:p>
    <w:p>
      <w:pPr>
        <w:ind w:left="420"/>
      </w:pPr>
      <w:r>
        <w:t xml:space="preserve">6. drei Vierteln, wenn eine der Fristen um 10 bis 14 Monate überschritten wird,</w:t>
      </w:r>
    </w:p>
    <w:p>
      <w:pPr>
        <w:ind w:left="420"/>
      </w:pPr>
      <w:r>
        <w:t xml:space="preserve">7. vier Vierteln, wenn eine der Fristen um mehr als 14 Monate überschritten wird.</w:t>
      </w:r>
    </w:p>
    <w:p>
      <w:r>
        <w:rPr>
          <w:color w:val="555555"/>
          <w:sz w:val="17"/>
        </w:rPr>
        <w:t xml:space="preserve">Zitiervorschlag: § 64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