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StromVKG — Gebotstermine und Ausschreibungsvolumen für die Ausschreibungen für Kapazitäten, Festlegungskompetenz</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Ausschreibungen für Kapazitäten erfolgen in zwei Gebotsterminen am 1. Dezember 2027 und 1. Oktober 2029. Die Bundesnetzagentur kann nach Maßgabe des § 84 Nummer 1 im Einvernehmen mit dem Bundesministerium für Wirtschaft und Energie abweichende Gebotstermine durch Festlegung bestimmen und hat diese entsprechend Absatz 2 bekannt zu machen.</w:t>
      </w:r>
    </w:p>
    <w:p>
      <w:r>
        <w:t xml:space="preserve">(2) Die Bundesnetzagentur ermittelt nach Anlage 1 zunächst den Gesamtbedarf an Kapazitäten für die jeweils relevante Ausschreibung für Kapazitäten und übermittelt diesen zeitnah zu dem Bericht nach § 63 Absatz 2 Satz 1 Nummer 2 in Verbindung mit § 51 Absatz 3 bis 4a des Energiewirtschaftsgesetzes an das Bundesministerium für Wirtschaft und Energie. Das Bundesministerium für Wirtschaft und Energie stellt zu dem Gesamtbedarf an Kapazitäten zeitgleich mit dem Bericht nach § 63 Absatz 2 Satz 1 Nummer 2 in Verbindung mit § 51 Absatz 3 bis 4a des Energiewirtschaftsgesetzes Einvernehmen innerhalb der Bundesregierung her.</w:t>
      </w:r>
    </w:p>
    <w:p>
      <w:r>
        <w:t xml:space="preserve">(3) Auf Basis des Gesamtbedarfs an Kapazitäten nach Absatz 2 ermittelt die Bundesnetzagentur nach Anlage 1 das Ausschreibungsvolumen für den Erbringungszeitraum und veröffentlicht das Ausschreibungsvolumen spätestens bis zur Bekanntmachung der jeweiligen Ausschreibung auf ihrer Internetseite. Die Übertragungsnetzbetreiber veröffentlichen das Ausschreibungsvolumen zusätzlich auf der gemeinsamen Internetplattform (§ 26 Absatz 6). Die Ermittlung des Ausschreibungsvolumens erfolgt ausschließlich im öffentlichen Interesse.</w:t>
      </w:r>
    </w:p>
    <w:p>
      <w:r>
        <w:t xml:space="preserve">(4) In dem Gebotstermin im Jahr 2027 werden 75 Prozent des für den Erbringungszeitraum ermittelten Ausschreibungsvolumens ausgeschrieben. In dem Gebotstermin im Jahr 2029 werden 100 Prozent des für den Erbringungszeitraum ermittelten Ausschreibungsvolumens ausgeschrieben.</w:t>
      </w:r>
    </w:p>
    <w:p>
      <w:r>
        <w:rPr>
          <w:color w:val="555555"/>
          <w:sz w:val="17"/>
        </w:rPr>
        <w:t xml:space="preserve">Zitiervorschlag: § 6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