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StromVKG — Voraussetzungen für die Erfüllung der Kapazitätsverpflichtung mit einer anderen Anlage</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Die gesamte oder teilweise Erfüllung der Kapazitätsverpflichtung mit einer anderen Anlage nach § 56 Absatz 1 Satz 1 Nummer 2, auch in Verbindung mit § 56 Absatz 2, setzt voraus, dass</w:t>
      </w:r>
    </w:p>
    <w:p>
      <w:pPr>
        <w:ind w:left="420"/>
      </w:pPr>
      <w:r>
        <w:t xml:space="preserve">1. die ersetzende Anlage vollständig präqualifiziert ist,</w:t>
      </w:r>
    </w:p>
    <w:p>
      <w:pPr>
        <w:ind w:left="420"/>
      </w:pPr>
      <w:r>
        <w:t xml:space="preserve">2. die ersetzende Anlage die für den Zuschlag der abgebenden Anlage maßgeblichen Voraussetzungen nach Abschnitt 3 erfüllt, wobei</w:t>
      </w:r>
    </w:p>
    <w:p>
      <w:pPr>
        <w:ind w:left="780"/>
      </w:pPr>
      <w:r>
        <w:t xml:space="preserve">a) für den Nachweis der Mindestinvestitionsschwelle solche Investitionen maßgeblich sind, die nach dem Zeitpunkt des Zuschlags für die zu ersetzende Anlage bis zum Zeitpunkt der Übertragung im Umfang der übertragungsfähigen Kapazität und in der für die ursprüngliche Dauer der Kapazitätsverpflichtung erforderlichen Höhe erfolgt sind, und</w:t>
      </w:r>
    </w:p>
    <w:p>
      <w:pPr>
        <w:ind w:left="780"/>
      </w:pPr>
      <w:r>
        <w:t xml:space="preserve">b) abweichend von § 11 Absatz 1 Satz 1 Nummer 1 ein Zuschlag für die ersetzende Anlage bestehen darf,</w:t>
      </w:r>
    </w:p>
    <w:p>
      <w:pPr>
        <w:ind w:left="420"/>
      </w:pPr>
      <w:r>
        <w:t xml:space="preserve">3. die ersetzende Anlage ihren Standort im netztechnischen Süden hat, sofern beim ursprünglichen Zuschlagsverfahren § 48 Absatz 5 Satz 1 angewendet wurde,</w:t>
      </w:r>
    </w:p>
    <w:p>
      <w:pPr>
        <w:ind w:left="420"/>
      </w:pPr>
      <w:r>
        <w:t xml:space="preserve">4. die nach Abschnitt 6 Unterabschnitt 2 erforderliche Hinterlegung der Sicherheiten nachgewiesen wird,</w:t>
      </w:r>
    </w:p>
    <w:p>
      <w:pPr>
        <w:ind w:left="420"/>
      </w:pPr>
      <w:r>
        <w:t xml:space="preserve">5. im Fall der Übertragung einer Kapazitätsverpflichtung mit einem Verpflichtungszeitraum von 15 Jahren der Erwerber unbeschadet der Verpflichtung des Veräußerers eine Selbstverpflichtung abgibt, dass die Anlage, mit der die Kapazitätsverpflichtung erfüllt werden soll, ab dem Jahr 2045 klimaneutral betrieben wird.</w:t>
      </w:r>
    </w:p>
    <w:p>
      <w:r>
        <w:t xml:space="preserve">(2) Die Erfüllung der Kapazitätsverpflichtung mit einem Anlagenpool ist zulässig, sofern es sich dabei nicht um einen Kleinanlagenpool handelt oder der Anlagenpool keinen Kleinanlagenpool enthält und alle Einzelanlagen des Anlagenpools jeweils einzeln die Anforderungen nach Absatz 1 erfüllen.</w:t>
      </w:r>
    </w:p>
    <w:p>
      <w:r>
        <w:t xml:space="preserve">(3) Ein grenzüberschreitender Austausch von Anlagen ist nicht zulässig.</w:t>
      </w:r>
    </w:p>
    <w:p>
      <w:r>
        <w:rPr>
          <w:color w:val="555555"/>
          <w:sz w:val="17"/>
        </w:rPr>
        <w:t xml:space="preserve">Zitiervorschlag: § 58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