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StromVKG — Voraussetzungen für die Übertragung an einen berechtigten Erwerber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Die gesamte oder teilweise Übertragung der Kapazitätsverpflichtung nach § 56 Absatz 1 Satz 1 Nummer 1, auch in Verbindung mit § 56 Absatz 2, setzt voraus, dass der Erwerber</w:t>
      </w:r>
    </w:p>
    <w:p>
      <w:pPr>
        <w:ind w:left="420"/>
      </w:pPr>
      <w:r>
        <w:t xml:space="preserve">1. die Voraussetzungen des § 10 erfüllt,</w:t>
      </w:r>
    </w:p>
    <w:p>
      <w:pPr>
        <w:ind w:left="420"/>
      </w:pPr>
      <w:r>
        <w:t xml:space="preserve">2. die nach Abschnitt 6 Unterabschnitt 2 erforderlichen Sicherheiten leistet und</w:t>
      </w:r>
    </w:p>
    <w:p>
      <w:pPr>
        <w:ind w:left="420"/>
      </w:pPr>
      <w:r>
        <w:t xml:space="preserve">3. die Selbstverpflichtung abgibt, dass die gebotsgegenständliche Anlage ab dem Jahr 2045 klimaneutral betrieben wird, sofern eine Kapazitätsverpflichtung mit einem Verpflichtungszeitraum von 15 Jahren übertragen wird.</w:t>
      </w:r>
    </w:p>
    <w:p>
      <w:r>
        <w:rPr>
          <w:color w:val="555555"/>
          <w:sz w:val="17"/>
        </w:rPr>
        <w:t xml:space="preserve">Zitiervorschlag: § 57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