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StromVKG — Übertragung der Kapazitätsverpflichtung, Erfüllung der Kapazitätsverpflichtung mit einer anderen Anlage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Nach Maßgabe dieses Unterabschnitts kann der Kapazitätsverpflichtete für den gesamten verbleibenden Verpflichtungszeitraum mit Wirkung frühestens ab dem nächsten Verpflichtungsjahr</w:t>
      </w:r>
    </w:p>
    <w:p>
      <w:pPr>
        <w:ind w:left="420"/>
      </w:pPr>
      <w:r>
        <w:t xml:space="preserve">1. die Kapazitätsverpflichtung mit allen Rechten und Pflichten an einen berechtigten Erwerber übertragen oder</w:t>
      </w:r>
    </w:p>
    <w:p>
      <w:pPr>
        <w:ind w:left="420"/>
      </w:pPr>
      <w:r>
        <w:t xml:space="preserve">2. die Anlage, mit der die Kapazitätsverpflichtung erfüllt wird, ersetzen.</w:t>
      </w:r>
    </w:p>
    <w:p>
      <w:r>
        <w:t xml:space="preserve">Satz 1 ist auch anzuwenden, wenn das auf die Übertragung folgende Verpflichtungsjahr das erste Verpflichtungsjahr des Verpflichtungszeitraums ist.</w:t>
      </w:r>
    </w:p>
    <w:p>
      <w:r>
        <w:t xml:space="preserve">(2) Die teilweise Übertragung der Kapazitätsverpflichtung nach Absatz 1 Satz 1 Nummer 1 ist zulässig, sofern der übertragene Teil eine reduzierte Leistung von mindestens 1 Megawatt umfasst und der beim Kapazitätsverpflichteten verbleibende Teil eine reduzierte Leistung von 1 Megawatt nicht unterschreitet. Der teilweise Ersatz einer Anlage nach Absatz 1 Satz 1 Nummer 2 ist zulässig, sofern sowohl die ersetzte als auch die ersetzende Anlage eine reduzierte Leistung von mindestens 1 Megawatt umfassen.</w:t>
      </w:r>
    </w:p>
    <w:p>
      <w:r>
        <w:rPr>
          <w:color w:val="555555"/>
          <w:sz w:val="17"/>
        </w:rPr>
        <w:t xml:space="preserve">Zitiervorschlag: § 56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