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StromVKG — Erlöschen von Zuschlägen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Ein Zuschlag erlischt, wenn</w:t>
      </w:r>
    </w:p>
    <w:p>
      <w:pPr>
        <w:ind w:left="420"/>
      </w:pPr>
      <w:r>
        <w:t xml:space="preserve">1. die Realisierungssicherheit nach § 43 nicht fristgemäß geleistet wird,</w:t>
      </w:r>
    </w:p>
    <w:p>
      <w:pPr>
        <w:ind w:left="420"/>
      </w:pPr>
      <w:r>
        <w:t xml:space="preserve">2. die Sicherheit für Ausgleichszahlungen und für die Pönale für einen unvollständigen Funktionsnachweis nach § 44 Absatz 1 nicht fristgerecht geleistet wird,</w:t>
      </w:r>
    </w:p>
    <w:p>
      <w:pPr>
        <w:ind w:left="420"/>
      </w:pPr>
      <w:r>
        <w:t xml:space="preserve">3. im Fall des § 45 Absatz 4 die Bürgschaft nicht innerhalb von 10 Werktagen nach Kenntniserlangung durch eine andere Sicherheit nach § 45 Absatz 2 ersetzt wird,</w:t>
      </w:r>
    </w:p>
    <w:p>
      <w:pPr>
        <w:ind w:left="420"/>
      </w:pPr>
      <w:r>
        <w:t xml:space="preserve">4. der Abschluss der vorläufigen Präqualifizierung nach § 63 Absatz 3 abgelehnt wurde oder</w:t>
      </w:r>
    </w:p>
    <w:p>
      <w:pPr>
        <w:ind w:left="420"/>
      </w:pPr>
      <w:r>
        <w:t xml:space="preserve">5. der Abschluss der vorläufigen Präqualifizierung nach § 63 Absatz 2 erfolgt ist, aber während des Verpflichtungszeitraums</w:t>
      </w:r>
    </w:p>
    <w:p>
      <w:pPr>
        <w:ind w:left="780"/>
      </w:pPr>
      <w:r>
        <w:t xml:space="preserve">a) die Anlage Emissionen von mehr als 550 Gramm Kohlenstoffdioxid aus fossilen Brennstoffen je Kilowattstunde erzeugter Elektrizität ausstößt und damit die Anforderungen nach Artikel 22 Absatz 4 der Verordnung (EU) 2019/943 nicht einhält,</w:t>
      </w:r>
    </w:p>
    <w:p>
      <w:pPr>
        <w:ind w:left="780"/>
      </w:pPr>
      <w:r>
        <w:t xml:space="preserve">b) bekannt wird, dass für die Anlage entweder ganz oder teilweise bereits ein Zuschlag nach diesem Gesetz oder anderweitig eine staatliche Förderung besteht nach dem Erneuerbare-Energien-Gesetz oder einer aufgrund des Erneuerbare-Energien-Gesetzes erlassenen Rechtsverordnung, dem Kraft-Wärme-Kopplungsgesetz oder einer aufgrund des Kraft-Wärme-Kopplungsgesetzes erlassenen Rechtsverordnung oder soweit dieselben förderfähigen Kosten wie die nach diesem Gesetz betroffen sind,</w:t>
      </w:r>
    </w:p>
    <w:p>
      <w:pPr>
        <w:ind w:left="780"/>
      </w:pPr>
      <w:r>
        <w:t xml:space="preserve">c) der Kapazitätsverpflichtete die Anforderungen nach § 10 nicht erfüllt oder</w:t>
      </w:r>
    </w:p>
    <w:p>
      <w:pPr>
        <w:ind w:left="780"/>
      </w:pPr>
      <w:r>
        <w:t xml:space="preserve">d) der Kapazitätsverpflichtete die Anforderungen nach § 12 Absatz 5 und 6 nicht erfüllt.</w:t>
      </w:r>
    </w:p>
    <w:p>
      <w:r>
        <w:t xml:space="preserve">In den Fällen von Satz 1 Nummer 5 stellt die Bundesnetzagentur das Erlöschen des Zuschlags ab dem Zeitpunkt fest, ab dem die betreffenden Anforderungen nicht mehr eingehalten wurden.</w:t>
      </w:r>
    </w:p>
    <w:p>
      <w:r>
        <w:rPr>
          <w:color w:val="555555"/>
          <w:sz w:val="17"/>
        </w:rPr>
        <w:t xml:space="preserve">Zitiervorschlag: § 53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