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StromVKG — Wirkung von Zuschlägen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Mit dem Zuschlag entstehen</w:t>
      </w:r>
    </w:p>
    <w:p>
      <w:pPr>
        <w:ind w:left="420"/>
      </w:pPr>
      <w:r>
        <w:t xml:space="preserve">1. die Verpflichtung, dass der Bieter als Kapazitätsverpflichteter für die Dauer des Verpflichtungszeitraums mit der gebotsgegenständlichen Anlage die gebotene nominale Leistung nach Maßgabe von Abschnitt 9 zur Verfügung stellt, und</w:t>
      </w:r>
    </w:p>
    <w:p>
      <w:pPr>
        <w:ind w:left="420"/>
      </w:pPr>
      <w:r>
        <w:t xml:space="preserve">2. die Zahlungsansprüche und Zahlungsverpflichtungen nach Abschnitt 10.</w:t>
      </w:r>
    </w:p>
    <w:p>
      <w:r>
        <w:t xml:space="preserve">(2) Sofern ein Abschluss der vorläufigen Präqualifizierung nach Abschnitt 8 erforderlich ist, entstehen die Rechte und Pflichten nach Absatz 1 bis zum Abschluss der vorläufigen Präqualifizierung nach § 63 Absatz 2 aufschiebend bedingt. Für den Zeitraum, für den der Kapazitätsverpflichtete eine anteilige Nichtrealisierungspönale nach § 64 Absatz 1 und 3 zu leisten hat, entfallen die Rechte und Pflichten nach Absatz 1.</w:t>
      </w:r>
    </w:p>
    <w:p>
      <w:r>
        <w:rPr>
          <w:color w:val="555555"/>
          <w:sz w:val="17"/>
        </w:rPr>
        <w:t xml:space="preserve">Zitiervorschlag: § 52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