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49 StromVKG — Ausschluss von Geboten</w:t>
      </w:r>
    </w:p>
    <w:p>
      <w:r>
        <w:rPr>
          <w:color w:val="555555"/>
          <w:sz w:val="18"/>
        </w:rPr>
        <w:t xml:space="preserve">Strom-Versorgungssicherheits-und-Kapazitätengesetz</w:t>
      </w:r>
    </w:p>
    <w:p>
      <w:r>
        <w:rPr>
          <w:color w:val="555555"/>
          <w:sz w:val="18"/>
        </w:rPr>
        <w:t xml:space="preserve">Stand: 23.07.2026 (konsolidierte Textfassung, kein amtliches Inkrafttretensdatum)</w:t>
      </w:r>
    </w:p>
    <w:p>
      <w:r>
        <w:t xml:space="preserve">(1) Die Bundesnetzagentur schließt ein Gebot vom Zuschlagsverfahren aus, wenn</w:t>
      </w:r>
    </w:p>
    <w:p>
      <w:pPr>
        <w:ind w:left="420"/>
      </w:pPr>
      <w:r>
        <w:t xml:space="preserve">1. bis zum Gebotstermin bei der Bundesnetzagentur die Gebühr, die für die Durchführung des Zuschlagsverfahrens zu erheben ist, oder die Gebotssicherheit nach § 42 nicht vollständig geleistet worden sind oder dem Gebot nicht eindeutig zugeordnet werden konnten,</w:t>
      </w:r>
    </w:p>
    <w:p>
      <w:pPr>
        <w:ind w:left="420"/>
      </w:pPr>
      <w:r>
        <w:t xml:space="preserve">2. der Gebotswert des Gebots den Höchstwert nach § 39 überschreitet, der für die jeweilige Ausschreibung gilt,</w:t>
      </w:r>
    </w:p>
    <w:p>
      <w:pPr>
        <w:ind w:left="420"/>
      </w:pPr>
      <w:r>
        <w:t xml:space="preserve">3. die gebotene reduzierte Leistung den Wert von 1 Megawatt reduzierter Leistung unterschreitet,</w:t>
      </w:r>
    </w:p>
    <w:p>
      <w:pPr>
        <w:ind w:left="420"/>
      </w:pPr>
      <w:r>
        <w:t xml:space="preserve">4. die gebotene nominale Leistung die nach § 28 Absatz 1 Nummer 5 beziehungsweise § 28 Absatz 4 Satz 2 Nummer 2 angegebene installierte Leistung oder die nach § 28 Absatz 1 Nummer 4 angegebene nominale Leistung übersteigt,</w:t>
      </w:r>
    </w:p>
    <w:p>
      <w:pPr>
        <w:ind w:left="420"/>
      </w:pPr>
      <w:r>
        <w:t xml:space="preserve">5. die dem Gebot zugrunde liegende Höchsterbringungsdauer die nach § 28 Absatz 1 Nummer 4 angegebene Höchsterbringungsdauer übersteigt oder in den Ausschreibungen für Langzeitkapazitäten weniger als 10 Stunden beträgt,</w:t>
      </w:r>
    </w:p>
    <w:p>
      <w:pPr>
        <w:ind w:left="420"/>
      </w:pPr>
      <w:r>
        <w:t xml:space="preserve">6. der gewählte Reduktionsfaktor nicht mit dem für die gebotsgegenständliche Anlage beziehungsweise für den gebotsgegenständlichen Anlagenpool maßgeblichen Reduktionsfaktor übereinstimmt,</w:t>
      </w:r>
    </w:p>
    <w:p>
      <w:pPr>
        <w:ind w:left="420"/>
      </w:pPr>
      <w:r>
        <w:t xml:space="preserve">7. kein Stromnetzanschluss oder keine verbindliche Stromnetzanschlusszusage des Anschlussnetzbetreibers für einen Stromnetzanschluss mindestens in Höhe der gebotenen nominalen Leistung bis spätestens zum Beginn des Verpflichtungszeitraums besteht,</w:t>
      </w:r>
    </w:p>
    <w:p>
      <w:pPr>
        <w:ind w:left="420"/>
      </w:pPr>
      <w:r>
        <w:t xml:space="preserve">8. das Gebot Bedingungen, Befristungen oder sonstige Nebenabreden enthält,</w:t>
      </w:r>
    </w:p>
    <w:p>
      <w:pPr>
        <w:ind w:left="420"/>
      </w:pPr>
      <w:r>
        <w:t xml:space="preserve">9. das Gebot nicht den Formatvorgaben oder Anforderungen nach den §§ 36 und 37 Absatz 4 für die Gebotsabgabe entspricht,</w:t>
      </w:r>
    </w:p>
    <w:p>
      <w:pPr>
        <w:ind w:left="420"/>
      </w:pPr>
      <w:r>
        <w:t xml:space="preserve">10. neben diesem Gebot ein weiteres Gebot für dieselbe Anlage beziehungsweise denselben Anlagenpool vorliegt,</w:t>
      </w:r>
    </w:p>
    <w:p>
      <w:pPr>
        <w:ind w:left="420"/>
      </w:pPr>
      <w:r>
        <w:t xml:space="preserve">11. für die gebotsgegenständliche Anlage beziehungsweise den gebotsgegenständlichen Anlagenpool bereits ein Zuschlag nach diesem Gesetz erteilt wurde oder eine Förderung nach dem Erneuerbare-Energien-Gesetz oder einer aufgrund des Erneuerbare-Energien-Gesetzes erlassenen Rechtsverordnung, nach dem Kraft-Wärme-Kopplungsgesetz oder einer aufgrund des Kraft-Wärme-Kopplungsgesetzes erlassenen Rechtsverordnung oder eine andere staatliche Förderung, soweit diese dieselben förderfähigen Kosten wie die nach diesem Gesetz betrifft, erhalten hat oder erhält,</w:t>
      </w:r>
    </w:p>
    <w:p>
      <w:pPr>
        <w:ind w:left="420"/>
      </w:pPr>
      <w:r>
        <w:t xml:space="preserve">12. bei einem Gebot für ein Kraftwerk für ein Verpflichtungszeitraum von 15 Jahren kein Konzept nach § 17 Absatz 2 Satz 2 für die Umstellung des Kraftwerks auf den Wasserstoffbetrieb vorgelegt wurde,</w:t>
      </w:r>
    </w:p>
    <w:p>
      <w:pPr>
        <w:ind w:left="420"/>
      </w:pPr>
      <w:r>
        <w:t xml:space="preserve">13. bei einem Gebot für eine Anlage nach § 18 Absatz 1 die Voraussetzungen nach den §§ 18 und 19 nicht erfüllt sind,</w:t>
      </w:r>
    </w:p>
    <w:p>
      <w:pPr>
        <w:ind w:left="420"/>
      </w:pPr>
      <w:r>
        <w:t xml:space="preserve">14. bei einem Gebot für einen Anlagenpool die Anforderungen an die Aggregation nach § 21 nicht erfüllt sind,</w:t>
      </w:r>
    </w:p>
    <w:p>
      <w:pPr>
        <w:ind w:left="420"/>
      </w:pPr>
      <w:r>
        <w:t xml:space="preserve">15. die sonstigen Vorgaben für Gebote nach den §§ 37 und 38 nicht vollständig erfüllt sind oder</w:t>
      </w:r>
    </w:p>
    <w:p>
      <w:pPr>
        <w:ind w:left="420"/>
      </w:pPr>
      <w:r>
        <w:t xml:space="preserve">16. das Gebot missbräuchlich ist oder der begründete Verdacht besteht, dass der Bieter keine ernsthafte Absicht verfolgt, die gebotsgegenständliche Anlage zu realisieren.</w:t>
      </w:r>
    </w:p>
    <w:p>
      <w:r>
        <w:t xml:space="preserve">(2) In den Ausschreibungen für Kapazitäten schließt die Bundesnetzagentur ein Gebot vom Zuschlagsverfahren auch aus, wenn für dieses keine vollständige Präqualifizierung oder keine vorläufige Präqualifizierung erteilt wurde.</w:t>
      </w:r>
    </w:p>
    <w:p>
      <w:r>
        <w:t xml:space="preserve">(3) In den Ausschreibungen für Erzeugungskapazitäten und für Langzeitkapazitäten schließt die Bundesnetzagentur ein Gebot vom Zuschlagsverfahren auch aus, wenn</w:t>
      </w:r>
    </w:p>
    <w:p>
      <w:pPr>
        <w:ind w:left="420"/>
      </w:pPr>
      <w:r>
        <w:t xml:space="preserve">1. der im Gebot angegebene Standort nicht den Anforderungen des § 12 Absatz 3 genügt, wobei § 12 Absatz 3 Nummer 2 Buchstabe d Doppelbuchstabe aa und bb unberücksichtigt bleibt,</w:t>
      </w:r>
    </w:p>
    <w:p>
      <w:pPr>
        <w:ind w:left="420"/>
      </w:pPr>
      <w:r>
        <w:t xml:space="preserve">2. bei einem Gebot für einen Anlagenpool die besonderen Teilnahmevoraussetzungen nach § 12 Absatz 4 nicht erfüllt sind oder</w:t>
      </w:r>
    </w:p>
    <w:p>
      <w:pPr>
        <w:ind w:left="420"/>
      </w:pPr>
      <w:r>
        <w:t xml:space="preserve">3. die Angaben nach § 27 Absatz 1 und den §§ 29 und 30 nicht vollständig sind.</w:t>
      </w:r>
    </w:p>
    <w:p>
      <w:r>
        <w:t xml:space="preserve">(4) In den Ausschreibungen für Langzeitkapazitäten schließt die Bundesnetzagentur ein Gebot vom Zuschlagsverfahren aus, wenn</w:t>
      </w:r>
    </w:p>
    <w:p>
      <w:pPr>
        <w:ind w:left="420"/>
      </w:pPr>
      <w:r>
        <w:t xml:space="preserve">1. in den Fällen des § 15 Absatz 1 der Bieter die Angaben nach § 38 Absatz 5 Nummer 2 nicht oder nicht vollständig gemacht hat oder</w:t>
      </w:r>
    </w:p>
    <w:p>
      <w:pPr>
        <w:ind w:left="420"/>
      </w:pPr>
      <w:r>
        <w:t xml:space="preserve">2. der Bieter keine Bestätigung abgegeben hat, dass dieser zumindest an einem vergleichbaren Projekt zur Schaffung von Kapazität beteiligt war.</w:t>
      </w:r>
    </w:p>
    <w:p>
      <w:r>
        <w:rPr>
          <w:color w:val="555555"/>
          <w:sz w:val="17"/>
        </w:rPr>
        <w:t xml:space="preserve">Zitiervorschlag: § 49 StromVKG</w:t>
      </w:r>
    </w:p>
    <w:p>
      <w:r>
        <w:rPr>
          <w:color w:val="555555"/>
          <w:sz w:val="17"/>
        </w:rPr>
        <w:t xml:space="preserve">Quelle: Bundesamt für Justiz, abgerufen 23.07.2026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https://recht.nulegal.eu/gesetze/StromVKG/49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