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StromVKG — Verwertung von Sicherheiten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Die Gebotssicherheit nach § 42 wird verwertet,</w:t>
      </w:r>
    </w:p>
    <w:p>
      <w:pPr>
        <w:ind w:left="420"/>
      </w:pPr>
      <w:r>
        <w:t xml:space="preserve">1. wenn der Bieter nach § 50 vom Zuschlagsverfahren ausgeschlossen wurde,</w:t>
      </w:r>
    </w:p>
    <w:p>
      <w:pPr>
        <w:ind w:left="420"/>
      </w:pPr>
      <w:r>
        <w:t xml:space="preserve">2. wenn und soweit die Realisierungssicherheit nach § 43 nicht fristgerecht in vollständiger Höhe geleistet wird oder</w:t>
      </w:r>
    </w:p>
    <w:p>
      <w:pPr>
        <w:ind w:left="420"/>
      </w:pPr>
      <w:r>
        <w:t xml:space="preserve">3. bei einem Zuschlag für einen Verpflichtungszeitraum von 1 Jahr, wenn und soweit die nach § 44 Absatz 1 zu zahlende Sicherheit für Ausgleichszahlungen und für die Pönale für einen unvollständigen Funktionsnachweis nicht fristgerecht in vollständiger Höhe geleistet wird.</w:t>
      </w:r>
    </w:p>
    <w:p>
      <w:r>
        <w:t xml:space="preserve">(2) Die Realisierungssicherheit nach § 43 wird verwertet, wenn und soweit die Nichtrealisierungspönale nach § 64 nicht fristgerecht in vollständiger Höhe geleistet wird.</w:t>
      </w:r>
    </w:p>
    <w:p>
      <w:r>
        <w:t xml:space="preserve">(3) Die Sicherheit für Ausgleichszahlungen und für die Pönale für einen unvollständigen Funktionsnachweis nach § 44 wird verwertet, wenn und soweit die Ausgleichszahlung nach § 76 oder der Funktionsnachweis nach § 80 nicht fristgerecht in vollständiger Höhe geleistet wird.</w:t>
      </w:r>
    </w:p>
    <w:p>
      <w:r>
        <w:rPr>
          <w:color w:val="555555"/>
          <w:sz w:val="17"/>
        </w:rPr>
        <w:t xml:space="preserve">Zitiervorschlag: § 47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