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StromVKG — Rückgabe von Sicherheiten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Sicherheiten sind nach Maßgabe der Absätze 2 bis 4 einschließlich etwaig erwirtschafteter Zinsen zurückzugeben, wenn und soweit sie nicht mehr zur Sicherung benötigt werden.</w:t>
      </w:r>
    </w:p>
    <w:p>
      <w:r>
        <w:t xml:space="preserve">(2) Die Gebotssicherheit nach § 42 ist zurückzugeben,</w:t>
      </w:r>
    </w:p>
    <w:p>
      <w:pPr>
        <w:ind w:left="420"/>
      </w:pPr>
      <w:r>
        <w:t xml:space="preserve">1. wenn der Bieter das Gebot, auf das sich die Sicherheit bezieht, nach § 40 Absatz 2 zurückgenommen hat,</w:t>
      </w:r>
    </w:p>
    <w:p>
      <w:pPr>
        <w:ind w:left="420"/>
      </w:pPr>
      <w:r>
        <w:t xml:space="preserve">2. wenn das Gebot, auf das sich die Sicherheit bezieht, nach § 49 ausgeschlossen wurde,</w:t>
      </w:r>
    </w:p>
    <w:p>
      <w:pPr>
        <w:ind w:left="420"/>
      </w:pPr>
      <w:r>
        <w:t xml:space="preserve">3. wenn das Gebot, auf das sich die Sicherheit bezieht, keinen Zuschlag erhalten hat,</w:t>
      </w:r>
    </w:p>
    <w:p>
      <w:pPr>
        <w:ind w:left="420"/>
      </w:pPr>
      <w:r>
        <w:t xml:space="preserve">4. bei einem bezuschlagten Gebot mit einem Verpflichtungszeitraum von 1 Jahr, wenn die nach § 44 zu zahlende Sicherheit für Ausgleichszahlungen und für die Pönale für einen unvollständigen Funktionsnachweis fristgerecht und in vollständiger Höhe geleistet wurde, oder</w:t>
      </w:r>
    </w:p>
    <w:p>
      <w:pPr>
        <w:ind w:left="420"/>
      </w:pPr>
      <w:r>
        <w:t xml:space="preserve">5. bei einem bezuschlagten Gebot mit einem Verpflichtungszeitraum von mehr als 1 Jahr, wenn die nach § 43 zu zahlende Realisierungssicherheit fristgerecht und in vollständiger Höhe geleistet wurde.</w:t>
      </w:r>
    </w:p>
    <w:p>
      <w:r>
        <w:t xml:space="preserve">(3) Die Realisierungssicherheit nach § 43 ist zurückzugeben, wenn</w:t>
      </w:r>
    </w:p>
    <w:p>
      <w:pPr>
        <w:ind w:left="420"/>
      </w:pPr>
      <w:r>
        <w:t xml:space="preserve">1. die Anforderungen für den Abschluss der vorläufigen Präqualifizierung nach § 63 Absatz 2 innerhalb der Frist nach § 61 Absatz 2 erfüllt sind und der Kapazitätsverpflichtete die Sicherheit für Ausgleichszahlungen und für die Pönale für einen unvollständigen Funktionsnachweis nach § 44 vollständig geleistet hat oder</w:t>
      </w:r>
    </w:p>
    <w:p>
      <w:pPr>
        <w:ind w:left="420"/>
      </w:pPr>
      <w:r>
        <w:t xml:space="preserve">2. der Kapazitätsverpflichtete die Nichtrealisierungspönale nach § 64 vollständig geleistet hat.</w:t>
      </w:r>
    </w:p>
    <w:p>
      <w:r>
        <w:t xml:space="preserve">(4) Die Sicherheit für Ausgleichszahlungen und für die Pönale für einen unvollständigen Funktionsnachweis nach § 44 ist nach dem Verpflichtungszeitraum zurückzugeben, wenn und soweit sie nicht mehr zur Sicherung von Ausgleichszahlungen benötigt wird.</w:t>
      </w:r>
    </w:p>
    <w:p>
      <w:r>
        <w:rPr>
          <w:color w:val="555555"/>
          <w:sz w:val="17"/>
        </w:rPr>
        <w:t xml:space="preserve">Zitiervorschlag: § 46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