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StromVKG — Sicherungsstelle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Sicherheiten nach diesem Unterabschnitt sind an die zuständige Sicherungsstelle zu leisten.</w:t>
      </w:r>
    </w:p>
    <w:p>
      <w:r>
        <w:t xml:space="preserve">(2) Zuständige Sicherungsstelle ist</w:t>
      </w:r>
    </w:p>
    <w:p>
      <w:pPr>
        <w:ind w:left="420"/>
      </w:pPr>
      <w:r>
        <w:t xml:space="preserve">1. für die Gebotssicherheit nach § 42</w:t>
      </w:r>
    </w:p>
    <w:p>
      <w:pPr>
        <w:ind w:left="780"/>
      </w:pPr>
      <w:r>
        <w:t xml:space="preserve">a) die Bundesnetzagentur in den Ausschreibungen für Langzeitkapazitäten und den Ausschreibungen für Erzeugungskapazitäten und</w:t>
      </w:r>
    </w:p>
    <w:p>
      <w:pPr>
        <w:ind w:left="780"/>
      </w:pPr>
      <w:r>
        <w:t xml:space="preserve">b) der zuständige Übertragungsnetzbetreiber in den Ausschreibungen für Kapazitäten,</w:t>
      </w:r>
    </w:p>
    <w:p>
      <w:pPr>
        <w:ind w:left="420"/>
      </w:pPr>
      <w:r>
        <w:t xml:space="preserve">2. für die Realisierungssicherheit nach § 43 der zuständige Übertragungsnetzbetreiber und</w:t>
      </w:r>
    </w:p>
    <w:p>
      <w:pPr>
        <w:ind w:left="420"/>
      </w:pPr>
      <w:r>
        <w:t xml:space="preserve">3. für die Sicherheit für Ausgleichszahlungen und für die Pönale für unvollständige Funktionsnachweise nach § 44 der zuständige Übertragungsnetzbetreiber.</w:t>
      </w:r>
    </w:p>
    <w:p>
      <w:r>
        <w:t xml:space="preserve">(3) Die zuständige Sicherungsstelle ist berechtigt, Sicherheiten einzubehalten, bis die Voraussetzungen zur Rückgabe oder Verwertung der Sicherheit nach den Bestimmungen dieses Unterabschnitts vorliegen.</w:t>
      </w:r>
    </w:p>
    <w:p>
      <w:r>
        <w:rPr>
          <w:color w:val="555555"/>
          <w:sz w:val="17"/>
        </w:rPr>
        <w:t xml:space="preserve">Zitiervorschlag: § 41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