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StromVKG — Bindungswirkung und Rücknahme von Geboten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Ein Bieter ist an sein Gebot, das bis zum Gebotstermin abgegeben und nicht zurückgenommen worden ist, gebunden, bis ihm von der Bundesnetzagentur mitgeteilt worden ist, dass sein Gebot keinen Zuschlag erhalten hat.</w:t>
      </w:r>
    </w:p>
    <w:p>
      <w:r>
        <w:t xml:space="preserve">(2) Die Rücknahme eines Gebots durch den Bieter ist bis zum jeweiligen Gebotstermin zulässig. Die Rücknahmeerklärung muss der Bundesnetzagentur nach Maßgabe der §§ 36 und 37 Absatz 1 spätestens am jeweiligen Gebotstermin zugegangen sein. Die Rücknahme muss durch eine unbedingte, unbefristete elektronisch übermittelte Erklärung des Bieters erfolgen, die sich dem Gebot eindeutig zuordnen lässt.</w:t>
      </w:r>
    </w:p>
    <w:p>
      <w:r>
        <w:rPr>
          <w:color w:val="555555"/>
          <w:sz w:val="17"/>
        </w:rPr>
        <w:t xml:space="preserve">Zitiervorschlag: § 40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