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StromVKG — Höchstwert</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Höchstwert beträgt in den Ausschreibungen für Langzeitkapazitäten und in der Ausschreibung für Erzeugungskapazitäten jeweils 244 000 Euro je Megawatt reduzierte Leistung pro Jahr.</w:t>
      </w:r>
    </w:p>
    <w:p>
      <w:r>
        <w:t xml:space="preserve">(2) In den Ausschreibungen für Kapazitäten gibt es für die unterschiedlichen Verpflichtungszeiträume jeweils separate Höchstwerte. Die Höchstwerte in den jeweiligen Ausschreibungen bestimmt die Bundesnetzagentur entsprechend der zu Artikel 23 Absatz 6 der Verordnung (EU) 2019/943 erstellten Methode sowie unter Zugrundelegung weiterer Berechnungsfaktoren. Die Höchstwerte sind spätestens mit der Bekanntmachung des jeweiligen Gebotstermins auf der Internetseite der Bundesnetzagentur zu veröffentlichen. Die Übertragungsnetzbetreiber veröffentlichen zusätzlich die Höchstwerte auf der gemeinsamen Internetplattform (§ 26 Absatz 6).</w:t>
      </w:r>
    </w:p>
    <w:p>
      <w:r>
        <w:rPr>
          <w:color w:val="555555"/>
          <w:sz w:val="17"/>
        </w:rPr>
        <w:t xml:space="preserve">Zitiervorschlag: § 39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