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StromVKG — Fortbestand der vollständigen Präqualifizierung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Eine nach diesem Abschnitt erfolgte vollständige Präqualifizierung berechtigt auch, ohne dass es einer erneuten vollständigen Präqualifizierung bedarf,</w:t>
      </w:r>
    </w:p>
    <w:p>
      <w:pPr>
        <w:ind w:left="420"/>
      </w:pPr>
      <w:r>
        <w:t xml:space="preserve">1. zur Teilnahme an weiteren Ausschreibungen für Kapazitäten und</w:t>
      </w:r>
    </w:p>
    <w:p>
      <w:pPr>
        <w:ind w:left="420"/>
      </w:pPr>
      <w:r>
        <w:t xml:space="preserve">2. zur Bereitstellung von Kapazitäten ohne Teilnahme an Ausschreibungen zum Zwecke der Abgabe von Indikativgeboten nach § 71.</w:t>
      </w:r>
    </w:p>
    <w:p>
      <w:r>
        <w:t xml:space="preserve">(2) Haben sich Änderungen beim Bieter oder der Anlage ergeben, die die Angaben nach den §§ 27 und 28 Absatz 1 betreffen, ist ein erneuter Antrag auf vollständige Präqualifizierung über die gemeinsame Internetplattform (§ 26 Absatz 6) unter Vorlage der geänderten Angaben und Nachweise im Fall von Absatz 1 Nummer 1 nach dem Verfahren und innerhalb der Frist nach § 26 Absatz 2 beziehungsweise im Fall von Absatz 1 Nummer 2 nach § 33 zu stellen.</w:t>
      </w:r>
    </w:p>
    <w:p>
      <w:r>
        <w:rPr>
          <w:color w:val="555555"/>
          <w:sz w:val="17"/>
        </w:rPr>
        <w:t xml:space="preserve">Zitiervorschlag: § 34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