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StromVKG — Präqualifizierung außerhalb der Teilnahme an einer Ausschreibung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Abweichend von den Fristen in § 26 Absatz 2 kann jederzeit, frühestens ab dem 1. Januar 2028, insbesondere zum Zwecke der Übertragung nach den §§ 56 bis 58 oder zum Zwecke der Abgabe von Indikativgeboten nach § 71 ein Antrag auf vollständige Präqualifizierung über die gemeinsame Internetplattform (§ 26 Absatz 6) bei den Übertragungsnetzbetreibern gestellt werden. Der Antrag hat, soweit erforderlich, die Angaben und Nachweise nach den §§ 27 und 28 sowie die Eigenerklärungen nach § 30 für eine vollständige Präqualifizierung zu enthalten.</w:t>
      </w:r>
    </w:p>
    <w:p>
      <w:r>
        <w:t xml:space="preserve">(2) Der zuständige Übertragungsnetzbetreiber hat binnen 6 Wochen nach der Antragstellung nach Absatz 1 über die vollständige Präqualifizierung zu entscheiden. Wenn der zuständige Übertragungsnetzbetreiber eine Frist zur Nachbesserung gesetzt hat, verlängert sich die Entscheidungsfrist entsprechend. Im Übrigen sind die Vorschriften dieses Abschnitts entsprechend anzuwenden.</w:t>
      </w:r>
    </w:p>
    <w:p>
      <w:r>
        <w:rPr>
          <w:color w:val="555555"/>
          <w:sz w:val="17"/>
        </w:rPr>
        <w:t xml:space="preserve">Zitiervorschlag: § 33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