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StromVKG — Entscheidung über die vollständige und vorläufige Präqualifizierung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Der zuständige Übertragungsnetzbetreiber entscheidet über einen Antrag zur vollständigen Präqualifizierung für eine Ausschreibung für Kapazitäten bis spätestens zum letzten Tag des 3. Monats vor dem jeweiligen Gebotstermin der Ausschreibung. Das Ergebnis wird über die gemeinsame Internetplattform (§ 26 Absatz 6) den jeweiligen Bietern individuell mitgeteilt.</w:t>
      </w:r>
    </w:p>
    <w:p>
      <w:r>
        <w:t xml:space="preserve">(2) In den Fällen der vorläufigen Präqualifizierung ist Absatz 1 entsprechend anzuwenden mit der Maßgabe, dass die Entscheidung nach Absatz 1 bis zum Abschluss der vorläufigen Präqualifizierung nach Abschnitt 8 vorläufig ist.</w:t>
      </w:r>
    </w:p>
    <w:p>
      <w:r>
        <w:t xml:space="preserve">(3) Eine vollständige Präqualifizierung erfolgt, wenn</w:t>
      </w:r>
    </w:p>
    <w:p>
      <w:pPr>
        <w:ind w:left="420"/>
      </w:pPr>
      <w:r>
        <w:t xml:space="preserve">1. die erforderlichen Angaben, Nachweise und Eigenerklärungen nach den §§ 27, 28 und 30 vollständig sind,</w:t>
      </w:r>
    </w:p>
    <w:p>
      <w:pPr>
        <w:ind w:left="420"/>
      </w:pPr>
      <w:r>
        <w:t xml:space="preserve">2. die Angaben mit den Angaben im Marktstammdatenregister, soweit dort entsprechende Angaben erfasst werden, übereinstimmen und</w:t>
      </w:r>
    </w:p>
    <w:p>
      <w:pPr>
        <w:ind w:left="420"/>
      </w:pPr>
      <w:r>
        <w:t xml:space="preserve">3. die erforderlichen Nachweise nach § 28 Absatz 2 erbracht sind.</w:t>
      </w:r>
    </w:p>
    <w:p>
      <w:r>
        <w:t xml:space="preserve">(4) Eine vorläufige Präqualifizierung erfolgt, wenn</w:t>
      </w:r>
    </w:p>
    <w:p>
      <w:pPr>
        <w:ind w:left="420"/>
      </w:pPr>
      <w:r>
        <w:t xml:space="preserve">1. die erforderlichen Angaben und Eigenerklärungen nach den §§ 27, 29 und 30 vollständig sind und</w:t>
      </w:r>
    </w:p>
    <w:p>
      <w:pPr>
        <w:ind w:left="420"/>
      </w:pPr>
      <w:r>
        <w:t xml:space="preserve">2. die Angaben mit den Angaben im Marktstammdatenregister, soweit dort entsprechende Angaben erfasst werden, übereinstimmen.</w:t>
      </w:r>
    </w:p>
    <w:p>
      <w:r>
        <w:rPr>
          <w:color w:val="555555"/>
          <w:sz w:val="17"/>
        </w:rPr>
        <w:t xml:space="preserve">Zitiervorschlag: § 32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