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StromVKG — Ausschreibungen; Zuständigkeiten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Nach diesem Gesetz werden die folgenden Ausschreibungen zur Bereitstellung von Kapazität für den Erbringungszeitraum durchgeführt:</w:t>
      </w:r>
    </w:p>
    <w:p>
      <w:pPr>
        <w:ind w:left="420"/>
      </w:pPr>
      <w:r>
        <w:t xml:space="preserve">1. Ausschreibungen für Erzeugungsanlagen, die nach Maßgabe von § 12 Absatz 5 über einen längeren Zeitraum Strom erzeugen können (Ausschreibungen für Langzeitkapazitäten),</w:t>
      </w:r>
    </w:p>
    <w:p>
      <w:pPr>
        <w:ind w:left="420"/>
      </w:pPr>
      <w:r>
        <w:t xml:space="preserve">2. eine Ausschreibung für sämtliche Erzeugungsanlagen (Ausschreibung für Erzeugungskapazitäten) und</w:t>
      </w:r>
    </w:p>
    <w:p>
      <w:pPr>
        <w:ind w:left="420"/>
      </w:pPr>
      <w:r>
        <w:t xml:space="preserve">3. Ausschreibungen für sämtliche Erzeugungsanlagen und regelbare Lasten (Ausschreibungen für Kapazitäten).</w:t>
      </w:r>
    </w:p>
    <w:p>
      <w:r>
        <w:t xml:space="preserve">(2) Die Erzeugungsanlagen und regelbaren Lasten müssen unbeschadet der §§ 18 und 19 auf deutschem Staatsgebiet errichtet und einer deutschen Regelzone sowie der deutsch-luxemburgischen Gebotszone zugeordnet sein.</w:t>
      </w:r>
    </w:p>
    <w:p>
      <w:r>
        <w:t xml:space="preserve">(3) Die Ausschreibungen nach Absatz 1 Nummer 1 und 2 werden von der Bundesnetzagentur durchgeführt. Die Ausschreibungen nach Absatz 1 Nummer 3 werden von der Bundesnetzagentur mit Unterstützung der Übertragungsnetzbetreiber durchgeführt.</w:t>
      </w:r>
    </w:p>
    <w:p>
      <w:r>
        <w:rPr>
          <w:color w:val="555555"/>
          <w:sz w:val="17"/>
        </w:rPr>
        <w:t xml:space="preserve">Zitiervorschlag: § 3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