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StromVKG — Zuständigkeit, Antrag und gemeinsame Internetplattform</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zuständige Übertragungsnetzbetreiber führt die vollständige sowie die vorläufige Präqualifizierung für die Ausschreibungen von Kapazitäten auf Antrag durch.</w:t>
      </w:r>
    </w:p>
    <w:p>
      <w:r>
        <w:t xml:space="preserve">(2) Der Antrag auf vollständige oder vorläufige Präqualifizierung zur Teilnahme an einer Ausschreibung ist vom Bieter bei dem zuständigen Übertragungsnetzbetreiber über die gemeinsame Internetplattform der Übertragungsnetzbetreiber nach Absatz 6 zu stellen, wobei der Antrag jeweils nur ab dem 1. Tag des 7. Monats vor dem jeweiligen Gebotstermin der Ausschreibung bis spätestens zum 1. Tag des 5. Monats vor dem jeweiligen Gebotstermin der Ausschreibung gestellt werden kann.</w:t>
      </w:r>
    </w:p>
    <w:p>
      <w:r>
        <w:t xml:space="preserve">(3) Der Antrag muss enthalten:</w:t>
      </w:r>
    </w:p>
    <w:p>
      <w:pPr>
        <w:ind w:left="420"/>
      </w:pPr>
      <w:r>
        <w:t xml:space="preserve">1. die Angabe, ob eine vollständige oder eine vorläufige Präqualifizierung beantragt wird,</w:t>
      </w:r>
    </w:p>
    <w:p>
      <w:pPr>
        <w:ind w:left="420"/>
      </w:pPr>
      <w:r>
        <w:t xml:space="preserve">2. alle nach diesem Abschnitt erforderlichen Angaben, Nachweise und Eigenerklärungen sowie</w:t>
      </w:r>
    </w:p>
    <w:p>
      <w:pPr>
        <w:ind w:left="420"/>
      </w:pPr>
      <w:r>
        <w:t xml:space="preserve">3. die Zustimmung zur Datenverwendung und -speicherung durch die Übertragungsnetzbetreiber und die Bundesnetzagentur.</w:t>
      </w:r>
    </w:p>
    <w:p>
      <w:r>
        <w:t xml:space="preserve">(4) Der Antrag auf vorläufige Präqualifizierung muss abweichend von § 28 Absatz 1 und 2 nur die Angaben zur Anlage nach § 29 enthalten.</w:t>
      </w:r>
    </w:p>
    <w:p>
      <w:r>
        <w:t xml:space="preserve">(5) Vor Antragstellung hat der Bieter die Angaben nach § 27 und, wenn es sich um eine Erzeugungsanlage handelt, im Fall der Beantragung einer vollständigen Präqualifizierung die Angaben zur Anlage nach § 28 Absatz 1 beziehungsweise im Fall der Beantragung einer vorläufigen Präqualifizierung die Angaben nach § 29 Absatz 1 in das Marktstammdatenregister einzutragen, soweit dort entsprechende Angaben erfasst werden.</w:t>
      </w:r>
    </w:p>
    <w:p>
      <w:r>
        <w:t xml:space="preserve">(6) Die Übertragungsnetzbetreiber richten für die Präqualifizierung bis zum 1. Mai 2027 und für die Ausschreibungen für Kapazitäten bis zum 15. Oktober 2027 eine gemeinsame Internetplattform ein und betreiben diese. Die Einrichtung und der Betrieb der Internetplattform erfolgt in Abstimmung mit der Bundesnetzagentur.</w:t>
      </w:r>
    </w:p>
    <w:p>
      <w:r>
        <w:t xml:space="preserve">(7) Die Übertragungsnetzbetreiber haben Formatvorgaben für die nach diesem Abschnitt erforderlichen Angaben, Nachweise und Eigenerklärungen sowie Mindestinhalte für die nach § 28 Absatz 2 Satz 2 erforderlichen Gutachten zu bestimmen. Diese sind auf der gemeinsamen Internetplattform nach Absatz 6 bekannt zu machen.</w:t>
      </w:r>
    </w:p>
    <w:p>
      <w:r>
        <w:t xml:space="preserve">(8) Ein Antrag für eine Anlage nach § 18 Absatz 1 kann nur gestellt werden, wenn die Voraussetzungen nach den §§ 18 und 19 erfüllt sind.</w:t>
      </w:r>
    </w:p>
    <w:p>
      <w:r>
        <w:rPr>
          <w:color w:val="555555"/>
          <w:sz w:val="17"/>
        </w:rPr>
        <w:t xml:space="preserve">Zitiervorschlag: § 26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