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StromVKG — Ermittlung der Reduktionsfaktoren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Für die Ausschreibung für Erzeugungskapazitäten und die Ausschreibungen für Kapazitäten ermittelt die Bundesnetzagentur in Abstimmung mit dem Bundesministerium für Wirtschaft und Energie die Reduktionsfaktoren nach Anlage 3 entsprechend der dort aufgeführten Methodiken und Technologieklassen. Bei der Ermittlung der Reduktionsfaktoren werden die Übertragungsnetzbetreiber regelmäßig bei allen wesentlichen Verfahrensschritten einbezogen. Die Bundesnetzagentur veröffentlicht die Reduktionsfaktoren spätestens 6 Wochen vor der Bekanntmachung der jeweiligen Ausschreibung auf ihrer Internetseite. Die Übertragungsnetzbetreiber veröffentlichen die Reduktionsfaktoren zusätzlich auf der gemeinsamen Internetplattform (§ 26 Absatz 6).</w:t>
      </w:r>
    </w:p>
    <w:p>
      <w:r>
        <w:t xml:space="preserve">(2) Die Reduktionsfaktoren für die Ausschreibungen für Langzeitkapazitäten ergeben sich aus Anlage 4.</w:t>
      </w:r>
    </w:p>
    <w:p>
      <w:r>
        <w:rPr>
          <w:color w:val="555555"/>
          <w:sz w:val="17"/>
        </w:rPr>
        <w:t xml:space="preserve">Zitiervorschlag: § 23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