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StromVKG — Reduzierte Leistung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Bereitstellung von Kapazität nach diesem Gesetz wird in reduzierter Leistung bestimmt. Damit gibt jeder Bieter in einer Ausschreibung das Gebot für eine Anlage mit ihrer reduzierten Leistung ab.</w:t>
      </w:r>
    </w:p>
    <w:p>
      <w:r>
        <w:t xml:space="preserve">(2) Die reduzierte Leistung wird berechnet, indem die gebotene nominale Leistung der gebotsgegenständlichen Anlage mit dem für sie maßgeblichen Reduktionsfaktor nach Absatz 3 und den §§ 23 und 24 multipliziert wird.</w:t>
      </w:r>
    </w:p>
    <w:p>
      <w:r>
        <w:t xml:space="preserve">(3) Für energieunbegrenzte Technologieklassen werden technologieklassenspezifische Reduktionsfaktoren bei den Ausschreibungen angewendet. Für energiebegrenzte Technologieklassen bestehen unterschiedliche Reduktionsfaktoren in Abhängigkeit von ihrer jeweiligen Höchsterbringungsdauer.</w:t>
      </w:r>
    </w:p>
    <w:p>
      <w:r>
        <w:rPr>
          <w:color w:val="555555"/>
          <w:sz w:val="17"/>
        </w:rPr>
        <w:t xml:space="preserve">Zitiervorschlag: § 22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