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StromVKG — Zusätzliche Voraussetzungen bei der grenzüberschreitenden Teilnahme</w:t>
      </w:r>
    </w:p>
    <w:p>
      <w:r>
        <w:rPr>
          <w:color w:val="555555"/>
          <w:sz w:val="18"/>
        </w:rPr>
        <w:t xml:space="preserve">Strom-Versorgungssicherheits-und-Kapazitätengesetz</w:t>
      </w:r>
    </w:p>
    <w:p>
      <w:r>
        <w:rPr>
          <w:color w:val="555555"/>
          <w:sz w:val="18"/>
        </w:rPr>
        <w:t xml:space="preserve">Stand: 23.07.2026 (konsolidierte Textfassung, kein amtliches Inkrafttretensdatum)</w:t>
      </w:r>
    </w:p>
    <w:p>
      <w:r>
        <w:t xml:space="preserve">Für eine grenzüberschreitende Teilnahme an den Ausschreibungen ist erforderlich, dass</w:t>
      </w:r>
    </w:p>
    <w:p>
      <w:pPr>
        <w:ind w:left="420"/>
      </w:pPr>
      <w:r>
        <w:t xml:space="preserve">1. im Fall einer Anlage nach § 18 Absatz 1 Nummer 1</w:t>
      </w:r>
    </w:p>
    <w:p>
      <w:pPr>
        <w:ind w:left="780"/>
      </w:pPr>
      <w:r>
        <w:t xml:space="preserve">a) ein Betreiber von Übertragungsnetzen mit Regelzonenverantwortung nach § 3 Nummer 17 des Energiewirtschaftsgesetzes die Bilanzkreiskoordinierung wahrnimmt, oder</w:t>
      </w:r>
    </w:p>
    <w:p>
      <w:pPr>
        <w:ind w:left="780"/>
      </w:pPr>
      <w:r>
        <w:t xml:space="preserve">b) eine Vereinbarung nach Nummer 2 Buchstabe a besteht.</w:t>
      </w:r>
    </w:p>
    <w:p>
      <w:pPr>
        <w:ind w:left="420"/>
      </w:pPr>
      <w:r>
        <w:t xml:space="preserve">2. im Fall einer Anlage nach § 18 Absatz 1 Nummer 2</w:t>
      </w:r>
    </w:p>
    <w:p>
      <w:pPr>
        <w:ind w:left="780"/>
      </w:pPr>
      <w:r>
        <w:t xml:space="preserve">a) eine vertragliche Vereinbarung der Übertragungsnetzbetreiber mit Regelzonenverantwortung nach § 3 Nummer 17 des Energiewirtschaftsgesetzes mit dem am Standort der Anlage zuständigen Übertragungsnetzbetreiber über die Teilnahme von Anlagen an Ausschreibungen nach diesem Gesetz besteht und</w:t>
      </w:r>
    </w:p>
    <w:p>
      <w:pPr>
        <w:ind w:left="780"/>
      </w:pPr>
      <w:r>
        <w:t xml:space="preserve">b) ausreichend Eintrittskapazität für die Teilnahme zur Verfügung steht.</w:t>
      </w:r>
    </w:p>
    <w:p>
      <w:r>
        <w:rPr>
          <w:color w:val="555555"/>
          <w:sz w:val="17"/>
        </w:rPr>
        <w:t xml:space="preserve">Zitiervorschlag: § 19 StromVKG</w:t>
      </w:r>
    </w:p>
    <w:p>
      <w:r>
        <w:rPr>
          <w:color w:val="555555"/>
          <w:sz w:val="17"/>
        </w:rPr>
        <w:t xml:space="preserve">Quelle: Bundesamt für Justiz, abgerufen 23.07.2026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https://recht.nulegal.eu/gesetze/StromVKG/19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