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StromVKG — Voraussetzungen für eine grenzüberschreitende Teilnahme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Unbeschadet der weiteren Voraussetzungen nach Abschnitt 3 ist ein Gebot für eine Anlage zulässig, die nicht auf dem deutschen Staatsgebiet errichtet ist,</w:t>
      </w:r>
    </w:p>
    <w:p>
      <w:pPr>
        <w:ind w:left="420"/>
      </w:pPr>
      <w:r>
        <w:t xml:space="preserve">1. aber einer deutschen Regelzone und der deutsch-luxemburgischen Gebotszone zugeordnet ist oder</w:t>
      </w:r>
    </w:p>
    <w:p>
      <w:pPr>
        <w:ind w:left="420"/>
      </w:pPr>
      <w:r>
        <w:t xml:space="preserve">2. einer Regelzone in einem anderen Mitgliedstaat der Europäischen Union zugeordnet ist, der eine direkte grenzüberschreitende Elektrizitätsverbindungsleitung mit einem Elektrizitätsversorgungsnetz in der Bundesrepublik Deutschland hat, und nicht der deutsch-luxemburgischen Gebotszone zugeordnet ist.</w:t>
      </w:r>
    </w:p>
    <w:p>
      <w:r>
        <w:t xml:space="preserve">(2) Für eine Anlage nach Absatz 1 sind nur Gebote mit einem Verpflichtungszeitraum von 1 Jahr zulässig.</w:t>
      </w:r>
    </w:p>
    <w:p>
      <w:r>
        <w:t xml:space="preserve">(3) Anlagen nach Absatz 1 können nur im Fall von § 19 Nummer 1 Buchstabe a Teil eines Anlagenpools sein.</w:t>
      </w:r>
    </w:p>
    <w:p>
      <w:r>
        <w:rPr>
          <w:color w:val="555555"/>
          <w:sz w:val="17"/>
        </w:rPr>
        <w:t xml:space="preserve">Zitiervorschlag: § 18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