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StromVKG — Anforderungen an die Betriebsfähigkeit der Anlage mit Wasserstoff</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Bei einem Gebot für einen Verpflichtungszeitraum von 15 Jahren, bei dem die gebotsgegenständliche Anlage ein Kraftwerk ist, das Erdgas als Hauptenergieträger im Verpflichtungszeitraum zur Stromerzeugung einsetzt, muss dieses für den Betrieb mit Wasserstoff vorbereitet sein.</w:t>
      </w:r>
    </w:p>
    <w:p>
      <w:r>
        <w:t xml:space="preserve">(2) Ein Kraftwerk ist nach Absatz 1 für den Wasserstoffbetrieb vorbereitet, wenn es in einer Weise geplant und gebaut ist, dass die Fähigkeit zum Betrieb mit 100 Prozent Wasserstoff durch eine Änderung von Anlagenkomponenten oder des Betriebs des Kraftwerks erreicht werden kann. Der Bieter hat im Rahmen seines Gebots ein Konzept für die Umstellung des Kraftwerks auf den Wasserstoffbetrieb vorzulegen.</w:t>
      </w:r>
    </w:p>
    <w:p>
      <w:r>
        <w:rPr>
          <w:color w:val="555555"/>
          <w:sz w:val="17"/>
        </w:rPr>
        <w:t xml:space="preserve">Zitiervorschlag: § 17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